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bottom w:val="none" w:sz="0" w:space="0" w:color="auto"/>
        </w:tblBorders>
        <w:tblLook w:val="04A0" w:firstRow="1" w:lastRow="0" w:firstColumn="1" w:lastColumn="0" w:noHBand="0" w:noVBand="1"/>
      </w:tblPr>
      <w:tblGrid>
        <w:gridCol w:w="5329"/>
        <w:gridCol w:w="4391"/>
      </w:tblGrid>
      <w:tr w:rsidR="00D06714" w:rsidRPr="002C0FE3" w14:paraId="064A455C" w14:textId="48CADAB8" w:rsidTr="00D06714">
        <w:tc>
          <w:tcPr>
            <w:tcW w:w="5666" w:type="dxa"/>
            <w:tcBorders>
              <w:top w:val="nil"/>
              <w:left w:val="nil"/>
              <w:bottom w:val="nil"/>
              <w:right w:val="nil"/>
            </w:tcBorders>
          </w:tcPr>
          <w:p w14:paraId="76DC8E41" w14:textId="62A4182B" w:rsidR="00D06714" w:rsidRPr="002C0FE3" w:rsidRDefault="00D06714" w:rsidP="003B65CF">
            <w:pPr>
              <w:pStyle w:val="Title"/>
              <w:rPr>
                <w:b/>
                <w:sz w:val="22"/>
                <w:szCs w:val="22"/>
              </w:rPr>
            </w:pPr>
            <w:r w:rsidRPr="002C0FE3">
              <w:rPr>
                <w:b/>
                <w:sz w:val="22"/>
                <w:szCs w:val="22"/>
              </w:rPr>
              <w:t>WRAP Regional Haze Planning Workgroup</w:t>
            </w:r>
          </w:p>
        </w:tc>
        <w:tc>
          <w:tcPr>
            <w:tcW w:w="4584" w:type="dxa"/>
            <w:vMerge w:val="restart"/>
            <w:tcBorders>
              <w:top w:val="nil"/>
              <w:left w:val="nil"/>
              <w:right w:val="nil"/>
            </w:tcBorders>
          </w:tcPr>
          <w:p w14:paraId="2935A727" w14:textId="69A94F68" w:rsidR="00D06714" w:rsidRPr="002C0FE3" w:rsidRDefault="00D06714" w:rsidP="00D06714">
            <w:pPr>
              <w:pStyle w:val="Title"/>
              <w:jc w:val="right"/>
              <w:rPr>
                <w:b/>
                <w:sz w:val="22"/>
                <w:szCs w:val="22"/>
              </w:rPr>
            </w:pPr>
            <w:r w:rsidRPr="002C0FE3">
              <w:rPr>
                <w:b/>
                <w:noProof/>
                <w:sz w:val="24"/>
                <w:szCs w:val="24"/>
              </w:rPr>
              <w:drawing>
                <wp:inline distT="0" distB="0" distL="0" distR="0" wp14:anchorId="1F584264" wp14:editId="17F7C89A">
                  <wp:extent cx="1211065" cy="602853"/>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AP Logo updated July 2016 - No Bord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6212" cy="620349"/>
                          </a:xfrm>
                          <a:prstGeom prst="rect">
                            <a:avLst/>
                          </a:prstGeom>
                        </pic:spPr>
                      </pic:pic>
                    </a:graphicData>
                  </a:graphic>
                </wp:inline>
              </w:drawing>
            </w:r>
          </w:p>
        </w:tc>
      </w:tr>
      <w:tr w:rsidR="00D06714" w:rsidRPr="002C0FE3" w14:paraId="20F093D1" w14:textId="0A5A42A3" w:rsidTr="00D06714">
        <w:tc>
          <w:tcPr>
            <w:tcW w:w="5666" w:type="dxa"/>
            <w:tcBorders>
              <w:top w:val="nil"/>
              <w:left w:val="nil"/>
              <w:bottom w:val="nil"/>
              <w:right w:val="nil"/>
            </w:tcBorders>
          </w:tcPr>
          <w:p w14:paraId="6A5383B5" w14:textId="77777777" w:rsidR="00D06714" w:rsidRPr="002C0FE3" w:rsidRDefault="00D06714" w:rsidP="003B65CF">
            <w:pPr>
              <w:pStyle w:val="Title"/>
              <w:rPr>
                <w:b/>
                <w:sz w:val="22"/>
                <w:szCs w:val="22"/>
              </w:rPr>
            </w:pPr>
            <w:r w:rsidRPr="002C0FE3">
              <w:rPr>
                <w:b/>
                <w:sz w:val="22"/>
                <w:szCs w:val="22"/>
              </w:rPr>
              <w:t xml:space="preserve">Emissions Inventory &amp; Modeling Protocol Subcommittee </w:t>
            </w:r>
          </w:p>
        </w:tc>
        <w:tc>
          <w:tcPr>
            <w:tcW w:w="4584" w:type="dxa"/>
            <w:vMerge/>
            <w:tcBorders>
              <w:left w:val="nil"/>
              <w:right w:val="nil"/>
            </w:tcBorders>
          </w:tcPr>
          <w:p w14:paraId="43BB14EC" w14:textId="77777777" w:rsidR="00D06714" w:rsidRPr="002C0FE3" w:rsidRDefault="00D06714" w:rsidP="003B65CF">
            <w:pPr>
              <w:pStyle w:val="Title"/>
              <w:rPr>
                <w:b/>
                <w:sz w:val="22"/>
                <w:szCs w:val="22"/>
              </w:rPr>
            </w:pPr>
          </w:p>
        </w:tc>
      </w:tr>
      <w:tr w:rsidR="00D06714" w:rsidRPr="002C0FE3" w14:paraId="2CB21585" w14:textId="7B1E73ED" w:rsidTr="00D06714">
        <w:tc>
          <w:tcPr>
            <w:tcW w:w="5666" w:type="dxa"/>
            <w:tcBorders>
              <w:top w:val="nil"/>
              <w:left w:val="nil"/>
              <w:bottom w:val="nil"/>
              <w:right w:val="nil"/>
            </w:tcBorders>
          </w:tcPr>
          <w:p w14:paraId="48638354" w14:textId="2112B5B2" w:rsidR="00D06714" w:rsidRPr="002C0FE3" w:rsidRDefault="00F31FF7" w:rsidP="003B65CF">
            <w:pPr>
              <w:pStyle w:val="Title"/>
              <w:rPr>
                <w:b/>
                <w:sz w:val="22"/>
                <w:szCs w:val="22"/>
              </w:rPr>
            </w:pPr>
            <w:r>
              <w:rPr>
                <w:b/>
                <w:sz w:val="22"/>
                <w:szCs w:val="22"/>
              </w:rPr>
              <w:t>2014 Shakeout Modeling Revisions (v2)</w:t>
            </w:r>
            <w:r w:rsidR="00D06714" w:rsidRPr="002C0FE3">
              <w:rPr>
                <w:b/>
                <w:sz w:val="22"/>
                <w:szCs w:val="22"/>
              </w:rPr>
              <w:t xml:space="preserve"> </w:t>
            </w:r>
          </w:p>
        </w:tc>
        <w:tc>
          <w:tcPr>
            <w:tcW w:w="4584" w:type="dxa"/>
            <w:vMerge/>
            <w:tcBorders>
              <w:left w:val="nil"/>
              <w:right w:val="nil"/>
            </w:tcBorders>
          </w:tcPr>
          <w:p w14:paraId="5A525544" w14:textId="77777777" w:rsidR="00D06714" w:rsidRPr="002C0FE3" w:rsidRDefault="00D06714" w:rsidP="003B65CF">
            <w:pPr>
              <w:pStyle w:val="Title"/>
              <w:rPr>
                <w:b/>
                <w:sz w:val="22"/>
                <w:szCs w:val="22"/>
              </w:rPr>
            </w:pPr>
          </w:p>
        </w:tc>
      </w:tr>
      <w:tr w:rsidR="00D06714" w:rsidRPr="002C0FE3" w14:paraId="0AEBAFA9" w14:textId="239DE972" w:rsidTr="00D06714">
        <w:tc>
          <w:tcPr>
            <w:tcW w:w="5666" w:type="dxa"/>
            <w:tcBorders>
              <w:top w:val="nil"/>
              <w:left w:val="nil"/>
              <w:right w:val="nil"/>
            </w:tcBorders>
          </w:tcPr>
          <w:p w14:paraId="46F0474A" w14:textId="531E7FC8" w:rsidR="00D06714" w:rsidRPr="00D06714" w:rsidRDefault="00D06714" w:rsidP="009F2CDA">
            <w:pPr>
              <w:pStyle w:val="Title"/>
              <w:rPr>
                <w:b/>
                <w:sz w:val="24"/>
                <w:szCs w:val="24"/>
              </w:rPr>
            </w:pPr>
            <w:r w:rsidRPr="00D06714">
              <w:rPr>
                <w:sz w:val="22"/>
                <w:szCs w:val="22"/>
              </w:rPr>
              <w:t xml:space="preserve">DRAFT – </w:t>
            </w:r>
            <w:r w:rsidR="009F2CDA">
              <w:rPr>
                <w:sz w:val="22"/>
                <w:szCs w:val="22"/>
              </w:rPr>
              <w:t>8</w:t>
            </w:r>
            <w:r w:rsidR="00FE1531">
              <w:rPr>
                <w:sz w:val="22"/>
                <w:szCs w:val="22"/>
              </w:rPr>
              <w:t>/2</w:t>
            </w:r>
            <w:r w:rsidR="009F2CDA">
              <w:rPr>
                <w:sz w:val="22"/>
                <w:szCs w:val="22"/>
              </w:rPr>
              <w:t>9</w:t>
            </w:r>
            <w:r w:rsidRPr="00D06714">
              <w:rPr>
                <w:sz w:val="22"/>
                <w:szCs w:val="22"/>
              </w:rPr>
              <w:t xml:space="preserve">/2019 </w:t>
            </w:r>
            <w:r w:rsidRPr="00D06714">
              <w:tab/>
            </w:r>
            <w:r w:rsidRPr="00D06714">
              <w:tab/>
            </w:r>
            <w:r w:rsidRPr="00D06714">
              <w:tab/>
            </w:r>
            <w:r w:rsidRPr="00D06714">
              <w:tab/>
            </w:r>
          </w:p>
        </w:tc>
        <w:tc>
          <w:tcPr>
            <w:tcW w:w="4584" w:type="dxa"/>
            <w:vMerge/>
            <w:tcBorders>
              <w:left w:val="nil"/>
              <w:right w:val="nil"/>
            </w:tcBorders>
          </w:tcPr>
          <w:p w14:paraId="7C1188C9" w14:textId="77777777" w:rsidR="00D06714" w:rsidRPr="002C0FE3" w:rsidRDefault="00D06714" w:rsidP="003B65CF">
            <w:pPr>
              <w:pStyle w:val="Title"/>
              <w:rPr>
                <w:sz w:val="22"/>
                <w:szCs w:val="22"/>
                <w:u w:val="single"/>
              </w:rPr>
            </w:pPr>
          </w:p>
        </w:tc>
      </w:tr>
    </w:tbl>
    <w:p w14:paraId="50A34296" w14:textId="77777777" w:rsidR="00D06714" w:rsidRDefault="00D06714" w:rsidP="000F2F42"/>
    <w:p w14:paraId="6501CB71" w14:textId="77777777" w:rsidR="00B82ADF" w:rsidRDefault="000F2F42" w:rsidP="00B82ADF">
      <w:r w:rsidRPr="008A4A18">
        <w:t>The Regional Haze Planning Work Group Emission</w:t>
      </w:r>
      <w:r>
        <w:t>s</w:t>
      </w:r>
      <w:r w:rsidRPr="008A4A18">
        <w:t xml:space="preserve"> Inventor</w:t>
      </w:r>
      <w:r>
        <w:t>y</w:t>
      </w:r>
      <w:r w:rsidRPr="008A4A18">
        <w:t xml:space="preserve"> and Modeling Protocol (RHPWG EI &amp; MP) Subcommittee </w:t>
      </w:r>
      <w:r w:rsidR="00F31FF7">
        <w:t>worked with</w:t>
      </w:r>
      <w:r>
        <w:t xml:space="preserve"> States &amp; Locals </w:t>
      </w:r>
      <w:r w:rsidR="00F31FF7">
        <w:t>to</w:t>
      </w:r>
      <w:r>
        <w:t xml:space="preserve"> </w:t>
      </w:r>
      <w:r w:rsidR="00F31FF7">
        <w:t>update the 2014</w:t>
      </w:r>
      <w:r>
        <w:t xml:space="preserve"> emissions</w:t>
      </w:r>
      <w:r w:rsidR="00B82ADF">
        <w:t>, which will be</w:t>
      </w:r>
      <w:r>
        <w:t xml:space="preserve"> </w:t>
      </w:r>
      <w:r w:rsidR="00F31FF7">
        <w:t>used in the final base case modeling simulations (Shakeout v2)</w:t>
      </w:r>
      <w:r w:rsidRPr="008A4A18">
        <w:t xml:space="preserve">. </w:t>
      </w:r>
      <w:r w:rsidR="00B82ADF">
        <w:t xml:space="preserve">The WRAP RHPWG EI &amp; MP Subcommittee will also use 2014 emissions (as characterized in v2 of the base-case modeling inventory) as the “representative baseline” for point sources unless state/locals provide an update.  </w:t>
      </w:r>
    </w:p>
    <w:p w14:paraId="3E2821CC" w14:textId="6287618F" w:rsidR="000F2F42" w:rsidRDefault="00007A6A" w:rsidP="000F2F42">
      <w:r>
        <w:t xml:space="preserve">The </w:t>
      </w:r>
      <w:hyperlink r:id="rId7" w:history="1">
        <w:r w:rsidRPr="00007A6A">
          <w:rPr>
            <w:rStyle w:val="Hyperlink"/>
          </w:rPr>
          <w:t>plan</w:t>
        </w:r>
      </w:hyperlink>
      <w:r>
        <w:t xml:space="preserve"> for </w:t>
      </w:r>
      <w:r w:rsidR="000F2F42" w:rsidRPr="008A4A18">
        <w:t>photochemical model</w:t>
      </w:r>
      <w:r w:rsidR="000F2F42">
        <w:t xml:space="preserve">ing </w:t>
      </w:r>
      <w:r>
        <w:t>includes</w:t>
      </w:r>
      <w:r w:rsidR="000F2F42">
        <w:t xml:space="preserve"> the base case</w:t>
      </w:r>
      <w:r w:rsidR="00CD7D78">
        <w:t xml:space="preserve"> v1 and v2</w:t>
      </w:r>
      <w:r w:rsidR="000F2F42">
        <w:t xml:space="preserve"> (</w:t>
      </w:r>
      <w:r w:rsidR="00CD7D78">
        <w:t xml:space="preserve">actual </w:t>
      </w:r>
      <w:r w:rsidR="000F2F42">
        <w:t>2014</w:t>
      </w:r>
      <w:r w:rsidR="00CD7D78">
        <w:t xml:space="preserve"> emissions with iterative changes/corrections</w:t>
      </w:r>
      <w:r w:rsidR="000F2F42">
        <w:t>),</w:t>
      </w:r>
      <w:r w:rsidR="00F31FF7">
        <w:t xml:space="preserve"> which used the 2014 NEI as the starting point.  Several updates to the 2014 NEI were made for v1 shakeout modeling, as described </w:t>
      </w:r>
      <w:hyperlink r:id="rId8" w:history="1">
        <w:r w:rsidR="00F31FF7" w:rsidRPr="00B82ADF">
          <w:rPr>
            <w:rStyle w:val="Hyperlink"/>
          </w:rPr>
          <w:t>here</w:t>
        </w:r>
      </w:hyperlink>
      <w:r w:rsidR="00F31FF7">
        <w:t>.</w:t>
      </w:r>
      <w:r w:rsidR="00B82ADF">
        <w:t xml:space="preserve">  Additional changes to the 2014 base case that were made for shakeout v2 modeling are summarized below.  </w:t>
      </w:r>
    </w:p>
    <w:p w14:paraId="720E9DF9" w14:textId="21E13A66" w:rsidR="00744936" w:rsidRPr="00181094" w:rsidRDefault="00181094" w:rsidP="00181094">
      <w:pPr>
        <w:spacing w:after="0" w:line="240" w:lineRule="auto"/>
        <w:contextualSpacing/>
        <w:rPr>
          <w:b/>
          <w:i/>
        </w:rPr>
      </w:pPr>
      <w:r w:rsidRPr="00181094">
        <w:rPr>
          <w:b/>
          <w:i/>
        </w:rPr>
        <w:t>2014 Base Case v1 to v2</w:t>
      </w:r>
      <w:r w:rsidR="00B82ADF">
        <w:rPr>
          <w:b/>
          <w:i/>
        </w:rPr>
        <w:t xml:space="preserve"> changes</w:t>
      </w:r>
      <w:r w:rsidRPr="00181094">
        <w:rPr>
          <w:b/>
          <w:i/>
        </w:rPr>
        <w:t>:</w:t>
      </w:r>
    </w:p>
    <w:p w14:paraId="588A308C" w14:textId="47CCCCEB" w:rsidR="00B82ADF" w:rsidRDefault="00B82ADF" w:rsidP="005A27A2">
      <w:pPr>
        <w:pStyle w:val="ListParagraph"/>
        <w:numPr>
          <w:ilvl w:val="0"/>
          <w:numId w:val="5"/>
        </w:numPr>
        <w:contextualSpacing/>
      </w:pPr>
      <w:r>
        <w:t>California submitted a complete replacement of 2014 emissions for all anthropogenic sources.</w:t>
      </w:r>
    </w:p>
    <w:p w14:paraId="14E2D0C7" w14:textId="0D359E22" w:rsidR="00181094" w:rsidRDefault="00181094" w:rsidP="00EF1021">
      <w:pPr>
        <w:pStyle w:val="ListParagraph"/>
        <w:numPr>
          <w:ilvl w:val="0"/>
          <w:numId w:val="5"/>
        </w:numPr>
        <w:contextualSpacing/>
      </w:pPr>
      <w:r>
        <w:t>O&amp;</w:t>
      </w:r>
      <w:r w:rsidR="00B82ADF">
        <w:t xml:space="preserve">G source emissions were adjusted for </w:t>
      </w:r>
      <w:r w:rsidR="00CA7BE3">
        <w:t xml:space="preserve">selected </w:t>
      </w:r>
      <w:r w:rsidR="00B82ADF">
        <w:t>relevant states, based on the work of the O&amp;G workgroup</w:t>
      </w:r>
      <w:r w:rsidR="00515C56">
        <w:t xml:space="preserve"> (see Table 1)</w:t>
      </w:r>
    </w:p>
    <w:p w14:paraId="6FE62F11" w14:textId="5385A412" w:rsidR="005A27A2" w:rsidRDefault="005A27A2" w:rsidP="005A27A2">
      <w:pPr>
        <w:pStyle w:val="ListParagraph"/>
        <w:numPr>
          <w:ilvl w:val="0"/>
          <w:numId w:val="5"/>
        </w:numPr>
        <w:contextualSpacing/>
      </w:pPr>
      <w:r>
        <w:t xml:space="preserve">Pima </w:t>
      </w:r>
      <w:r w:rsidR="00CA7BE3">
        <w:t>C</w:t>
      </w:r>
      <w:r>
        <w:t>ounty (Arizona) submitted emissions changes</w:t>
      </w:r>
      <w:r w:rsidR="000F02CA">
        <w:t xml:space="preserve"> (see Table 2)</w:t>
      </w:r>
      <w:r w:rsidR="00694FA3">
        <w:t xml:space="preserve"> due to incomplete data submission in shakeout v1</w:t>
      </w:r>
    </w:p>
    <w:p w14:paraId="6CA88DB1" w14:textId="369CFCDF" w:rsidR="005A27A2" w:rsidRDefault="005A27A2" w:rsidP="005A27A2">
      <w:pPr>
        <w:pStyle w:val="ListParagraph"/>
        <w:numPr>
          <w:ilvl w:val="1"/>
          <w:numId w:val="5"/>
        </w:numPr>
        <w:contextualSpacing/>
      </w:pPr>
      <w:r>
        <w:t>5 non-EGU facilities to be added</w:t>
      </w:r>
      <w:r w:rsidR="00694FA3">
        <w:t xml:space="preserve"> (87 tons NOx, </w:t>
      </w:r>
      <w:r w:rsidR="00FE1531">
        <w:t>1517 tons PM10, 267 tons PM2.5, 7 tons SO2, 45 tons VOC, 203 tons CO)</w:t>
      </w:r>
    </w:p>
    <w:p w14:paraId="1950BC82" w14:textId="21EC8931" w:rsidR="005A27A2" w:rsidRDefault="005A27A2" w:rsidP="005A27A2">
      <w:pPr>
        <w:pStyle w:val="ListParagraph"/>
        <w:numPr>
          <w:ilvl w:val="1"/>
          <w:numId w:val="5"/>
        </w:numPr>
        <w:contextualSpacing/>
      </w:pPr>
      <w:r>
        <w:t>1 O&amp;G facility to be added</w:t>
      </w:r>
      <w:r w:rsidR="00FE1531">
        <w:t xml:space="preserve"> (5 tons NOx, 1 ton PM, 90 tons VOC, 17 tons CO)</w:t>
      </w:r>
    </w:p>
    <w:p w14:paraId="495C8EC8" w14:textId="77777777" w:rsidR="005A27A2" w:rsidRDefault="005A27A2" w:rsidP="005A27A2">
      <w:pPr>
        <w:pStyle w:val="ListParagraph"/>
        <w:numPr>
          <w:ilvl w:val="1"/>
          <w:numId w:val="5"/>
        </w:numPr>
        <w:contextualSpacing/>
      </w:pPr>
      <w:r>
        <w:t>3 non-EGU facility datasets to be replaced</w:t>
      </w:r>
    </w:p>
    <w:p w14:paraId="7EDE7A66" w14:textId="77777777" w:rsidR="005A27A2" w:rsidRDefault="005A27A2" w:rsidP="005A27A2">
      <w:pPr>
        <w:pStyle w:val="ListParagraph"/>
        <w:numPr>
          <w:ilvl w:val="1"/>
          <w:numId w:val="5"/>
        </w:numPr>
        <w:contextualSpacing/>
      </w:pPr>
      <w:r>
        <w:t>1 EGU facility dataset to be replaced</w:t>
      </w:r>
    </w:p>
    <w:p w14:paraId="380AA2E7" w14:textId="7C3E2703" w:rsidR="005A27A2" w:rsidRDefault="005A27A2" w:rsidP="005A27A2">
      <w:pPr>
        <w:pStyle w:val="ListParagraph"/>
        <w:numPr>
          <w:ilvl w:val="0"/>
          <w:numId w:val="5"/>
        </w:numPr>
        <w:contextualSpacing/>
      </w:pPr>
      <w:r>
        <w:t>North Dakota identified 1 facility to be switched from O&amp;G sector to non-EGU sector</w:t>
      </w:r>
      <w:r w:rsidR="00CA7BE3">
        <w:t xml:space="preserve"> </w:t>
      </w:r>
    </w:p>
    <w:p w14:paraId="46955031" w14:textId="46FAABBD" w:rsidR="00181094" w:rsidRDefault="00181094" w:rsidP="00EF1021">
      <w:pPr>
        <w:pStyle w:val="ListParagraph"/>
        <w:numPr>
          <w:ilvl w:val="0"/>
          <w:numId w:val="5"/>
        </w:numPr>
        <w:contextualSpacing/>
      </w:pPr>
      <w:r>
        <w:t>model boundary conditions changes (international anthropogenic emissions vs international natural emissions)</w:t>
      </w:r>
      <w:r w:rsidR="00B82ADF">
        <w:t xml:space="preserve"> were adjusted to </w:t>
      </w:r>
      <w:r w:rsidR="005A27A2">
        <w:t>account for over-predictions of sulfur and ozone</w:t>
      </w:r>
    </w:p>
    <w:p w14:paraId="1E418B1A" w14:textId="62F07752" w:rsidR="00AA6E01" w:rsidRDefault="00AA6E01" w:rsidP="00EF1021">
      <w:pPr>
        <w:pStyle w:val="ListParagraph"/>
        <w:numPr>
          <w:ilvl w:val="0"/>
          <w:numId w:val="5"/>
        </w:numPr>
        <w:contextualSpacing/>
      </w:pPr>
      <w:r>
        <w:t xml:space="preserve">Several updates to Montana point sources were made due to </w:t>
      </w:r>
      <w:r w:rsidR="00694FA3">
        <w:t>incorrectly formatted pollutant names for PM and NOx in the shakeout v1 simulations, causing 1084 tons of NOx, 2335 tons of PM10, and 438 tons of PM2.5 to be dropped from the simulations</w:t>
      </w:r>
      <w:r>
        <w:t xml:space="preserve">.  </w:t>
      </w:r>
      <w:r w:rsidR="00694FA3">
        <w:t>These are fixed for v2.</w:t>
      </w:r>
    </w:p>
    <w:p w14:paraId="53A516C7" w14:textId="77777777" w:rsidR="006F40CB" w:rsidRDefault="006F40CB" w:rsidP="006F40CB">
      <w:pPr>
        <w:contextualSpacing/>
      </w:pPr>
    </w:p>
    <w:p w14:paraId="06D40CFD" w14:textId="18E40E0F" w:rsidR="006F40CB" w:rsidRDefault="006F40CB" w:rsidP="006F40CB">
      <w:pPr>
        <w:contextualSpacing/>
      </w:pPr>
      <w:r>
        <w:t xml:space="preserve">See </w:t>
      </w:r>
      <w:r w:rsidR="009E42E3">
        <w:t xml:space="preserve">Figure 1 for the total emissions changes and </w:t>
      </w:r>
      <w:r>
        <w:t>Table 2 for a summary of emissions changes by sector</w:t>
      </w:r>
      <w:r w:rsidR="009E42E3">
        <w:t>.</w:t>
      </w:r>
      <w:r>
        <w:t xml:space="preserve"> California </w:t>
      </w:r>
      <w:r w:rsidR="009F2CDA">
        <w:t xml:space="preserve">emissions </w:t>
      </w:r>
      <w:r w:rsidR="009E42E3">
        <w:t>are excluded because they</w:t>
      </w:r>
      <w:r>
        <w:t xml:space="preserve"> </w:t>
      </w:r>
      <w:r w:rsidR="009F2CDA">
        <w:t>are not directly comparable to the first shakeout version.</w:t>
      </w:r>
    </w:p>
    <w:p w14:paraId="0ABD5A0E" w14:textId="1D34835C" w:rsidR="00515C56" w:rsidRDefault="00515C56" w:rsidP="00181094"/>
    <w:p w14:paraId="768F2DDB" w14:textId="6AFE27C3" w:rsidR="00515C56" w:rsidRDefault="009E42E3">
      <w:r>
        <w:rPr>
          <w:noProof/>
        </w:rPr>
        <w:lastRenderedPageBreak/>
        <w:drawing>
          <wp:inline distT="0" distB="0" distL="0" distR="0" wp14:anchorId="334843D3" wp14:editId="4FCC5A2A">
            <wp:extent cx="6172200" cy="36861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0" w:name="_GoBack"/>
      <w:bookmarkEnd w:id="0"/>
    </w:p>
    <w:p w14:paraId="04C6A890" w14:textId="417C584C" w:rsidR="009E42E3" w:rsidRDefault="009E42E3">
      <w:pPr>
        <w:sectPr w:rsidR="009E42E3" w:rsidSect="00181094">
          <w:pgSz w:w="12240" w:h="15840"/>
          <w:pgMar w:top="1170" w:right="1170" w:bottom="1350" w:left="1350" w:header="720" w:footer="720" w:gutter="0"/>
          <w:cols w:space="720"/>
          <w:docGrid w:linePitch="360"/>
        </w:sectPr>
      </w:pPr>
      <w:r>
        <w:t xml:space="preserve">Figure 1:  Total Changes in Emissions </w:t>
      </w:r>
      <w:r>
        <w:t>from WRAP Shakeout v1 to v2</w:t>
      </w:r>
      <w:r>
        <w:t>, in tons, by state.</w:t>
      </w:r>
    </w:p>
    <w:p w14:paraId="3B95D27E" w14:textId="19050494" w:rsidR="00515C56" w:rsidRDefault="00AD3867" w:rsidP="00515C56">
      <w:r>
        <w:lastRenderedPageBreak/>
        <w:t xml:space="preserve">Table 1.  Upstream Oil &amp; Gas Emissions changes:  WRAP 2014 Shakeout v1 to v2 </w:t>
      </w:r>
    </w:p>
    <w:tbl>
      <w:tblPr>
        <w:tblW w:w="14642" w:type="dxa"/>
        <w:tblInd w:w="4" w:type="dxa"/>
        <w:tblCellMar>
          <w:left w:w="0" w:type="dxa"/>
          <w:right w:w="0" w:type="dxa"/>
        </w:tblCellMar>
        <w:tblLook w:val="04A0" w:firstRow="1" w:lastRow="0" w:firstColumn="1" w:lastColumn="0" w:noHBand="0" w:noVBand="1"/>
      </w:tblPr>
      <w:tblGrid>
        <w:gridCol w:w="692"/>
        <w:gridCol w:w="773"/>
        <w:gridCol w:w="875"/>
        <w:gridCol w:w="885"/>
        <w:gridCol w:w="672"/>
        <w:gridCol w:w="749"/>
        <w:gridCol w:w="808"/>
        <w:gridCol w:w="15"/>
        <w:gridCol w:w="814"/>
        <w:gridCol w:w="875"/>
        <w:gridCol w:w="875"/>
        <w:gridCol w:w="773"/>
        <w:gridCol w:w="749"/>
        <w:gridCol w:w="808"/>
        <w:gridCol w:w="647"/>
        <w:gridCol w:w="544"/>
        <w:gridCol w:w="130"/>
        <w:gridCol w:w="641"/>
        <w:gridCol w:w="11"/>
        <w:gridCol w:w="300"/>
        <w:gridCol w:w="401"/>
        <w:gridCol w:w="690"/>
        <w:gridCol w:w="107"/>
        <w:gridCol w:w="339"/>
        <w:gridCol w:w="469"/>
      </w:tblGrid>
      <w:tr w:rsidR="00AD3867" w:rsidRPr="00AD3867" w14:paraId="08719150" w14:textId="77777777" w:rsidTr="00CA7BE3">
        <w:trPr>
          <w:trHeight w:val="669"/>
        </w:trPr>
        <w:tc>
          <w:tcPr>
            <w:tcW w:w="692" w:type="dxa"/>
            <w:vMerge w:val="restart"/>
            <w:tcBorders>
              <w:top w:val="single" w:sz="8" w:space="0" w:color="auto"/>
              <w:left w:val="single" w:sz="8" w:space="0" w:color="auto"/>
              <w:bottom w:val="single" w:sz="8" w:space="0" w:color="000000"/>
              <w:right w:val="single" w:sz="8" w:space="0" w:color="auto"/>
            </w:tcBorders>
            <w:shd w:val="clear" w:color="auto" w:fill="BDD7EE"/>
            <w:noWrap/>
            <w:tcMar>
              <w:top w:w="0" w:type="dxa"/>
              <w:left w:w="108" w:type="dxa"/>
              <w:bottom w:w="0" w:type="dxa"/>
              <w:right w:w="108" w:type="dxa"/>
            </w:tcMar>
            <w:vAlign w:val="center"/>
            <w:hideMark/>
          </w:tcPr>
          <w:p w14:paraId="3AC0903F" w14:textId="77777777" w:rsidR="00515C56" w:rsidRPr="00AD3867" w:rsidRDefault="00515C56">
            <w:pPr>
              <w:jc w:val="center"/>
              <w:rPr>
                <w:b/>
                <w:bCs/>
                <w:color w:val="000000"/>
                <w:szCs w:val="24"/>
              </w:rPr>
            </w:pPr>
            <w:r w:rsidRPr="00AD3867">
              <w:rPr>
                <w:b/>
                <w:bCs/>
                <w:color w:val="000000"/>
                <w:szCs w:val="24"/>
              </w:rPr>
              <w:t>State</w:t>
            </w:r>
          </w:p>
        </w:tc>
        <w:tc>
          <w:tcPr>
            <w:tcW w:w="4777" w:type="dxa"/>
            <w:gridSpan w:val="7"/>
            <w:tcBorders>
              <w:top w:val="single" w:sz="8" w:space="0" w:color="auto"/>
              <w:left w:val="nil"/>
              <w:bottom w:val="single" w:sz="8" w:space="0" w:color="auto"/>
              <w:right w:val="single" w:sz="8" w:space="0" w:color="000000"/>
            </w:tcBorders>
            <w:shd w:val="clear" w:color="auto" w:fill="BDD7EE"/>
            <w:noWrap/>
            <w:tcMar>
              <w:top w:w="0" w:type="dxa"/>
              <w:left w:w="108" w:type="dxa"/>
              <w:bottom w:w="0" w:type="dxa"/>
              <w:right w:w="108" w:type="dxa"/>
            </w:tcMar>
            <w:vAlign w:val="center"/>
            <w:hideMark/>
          </w:tcPr>
          <w:p w14:paraId="5EE063EA" w14:textId="77777777" w:rsidR="00CA7BE3" w:rsidRDefault="00515C56" w:rsidP="00CA7BE3">
            <w:pPr>
              <w:spacing w:after="0" w:line="240" w:lineRule="auto"/>
              <w:jc w:val="center"/>
              <w:rPr>
                <w:b/>
                <w:bCs/>
                <w:color w:val="000000"/>
                <w:szCs w:val="24"/>
              </w:rPr>
            </w:pPr>
            <w:r w:rsidRPr="00AD3867">
              <w:rPr>
                <w:b/>
                <w:bCs/>
                <w:color w:val="000000"/>
                <w:szCs w:val="24"/>
              </w:rPr>
              <w:t xml:space="preserve">WRAP Shake-out Modeling v1 </w:t>
            </w:r>
          </w:p>
          <w:p w14:paraId="086A9ABB" w14:textId="1DB86672" w:rsidR="00515C56" w:rsidRPr="00AD3867" w:rsidRDefault="00CA7BE3" w:rsidP="00CA7BE3">
            <w:pPr>
              <w:spacing w:after="0" w:line="240" w:lineRule="auto"/>
              <w:jc w:val="center"/>
              <w:rPr>
                <w:b/>
                <w:bCs/>
                <w:color w:val="000000"/>
                <w:szCs w:val="24"/>
              </w:rPr>
            </w:pPr>
            <w:r>
              <w:rPr>
                <w:b/>
                <w:bCs/>
                <w:color w:val="000000"/>
                <w:szCs w:val="24"/>
              </w:rPr>
              <w:t>(</w:t>
            </w:r>
            <w:r w:rsidR="00515C56" w:rsidRPr="00AD3867">
              <w:rPr>
                <w:b/>
                <w:bCs/>
                <w:color w:val="000000"/>
                <w:szCs w:val="24"/>
              </w:rPr>
              <w:t>basis is 2014 NEIv2)</w:t>
            </w:r>
          </w:p>
        </w:tc>
        <w:tc>
          <w:tcPr>
            <w:tcW w:w="4894" w:type="dxa"/>
            <w:gridSpan w:val="6"/>
            <w:tcBorders>
              <w:top w:val="single" w:sz="8" w:space="0" w:color="auto"/>
              <w:left w:val="nil"/>
              <w:bottom w:val="single" w:sz="8" w:space="0" w:color="auto"/>
              <w:right w:val="single" w:sz="8" w:space="0" w:color="000000"/>
            </w:tcBorders>
            <w:shd w:val="clear" w:color="auto" w:fill="BDD7EE"/>
            <w:tcMar>
              <w:top w:w="0" w:type="dxa"/>
              <w:left w:w="108" w:type="dxa"/>
              <w:bottom w:w="0" w:type="dxa"/>
              <w:right w:w="108" w:type="dxa"/>
            </w:tcMar>
            <w:vAlign w:val="center"/>
            <w:hideMark/>
          </w:tcPr>
          <w:p w14:paraId="7CBEA33D" w14:textId="77777777" w:rsidR="00515C56" w:rsidRPr="00AD3867" w:rsidRDefault="00515C56" w:rsidP="00CA7BE3">
            <w:pPr>
              <w:spacing w:after="0" w:line="240" w:lineRule="auto"/>
              <w:jc w:val="center"/>
              <w:rPr>
                <w:b/>
                <w:bCs/>
                <w:color w:val="000000"/>
                <w:szCs w:val="24"/>
              </w:rPr>
            </w:pPr>
            <w:r w:rsidRPr="00AD3867">
              <w:rPr>
                <w:b/>
                <w:bCs/>
                <w:color w:val="000000"/>
                <w:szCs w:val="24"/>
              </w:rPr>
              <w:t>WRAP O&amp;G Working Group Emission Inventory v2</w:t>
            </w:r>
            <w:r w:rsidRPr="00AD3867">
              <w:rPr>
                <w:b/>
                <w:bCs/>
                <w:color w:val="000000"/>
                <w:szCs w:val="24"/>
              </w:rPr>
              <w:br/>
              <w:t>for Shake-out Modeling v2</w:t>
            </w:r>
          </w:p>
        </w:tc>
        <w:tc>
          <w:tcPr>
            <w:tcW w:w="4279" w:type="dxa"/>
            <w:gridSpan w:val="11"/>
            <w:tcBorders>
              <w:top w:val="single" w:sz="8" w:space="0" w:color="auto"/>
              <w:left w:val="nil"/>
              <w:bottom w:val="single" w:sz="8" w:space="0" w:color="auto"/>
              <w:right w:val="single" w:sz="8" w:space="0" w:color="000000"/>
            </w:tcBorders>
            <w:shd w:val="clear" w:color="auto" w:fill="BDD7EE"/>
            <w:noWrap/>
            <w:tcMar>
              <w:top w:w="0" w:type="dxa"/>
              <w:left w:w="108" w:type="dxa"/>
              <w:bottom w:w="0" w:type="dxa"/>
              <w:right w:w="108" w:type="dxa"/>
            </w:tcMar>
            <w:vAlign w:val="center"/>
            <w:hideMark/>
          </w:tcPr>
          <w:p w14:paraId="38895AEA" w14:textId="3CDBE9C8" w:rsidR="00515C56" w:rsidRPr="00AD3867" w:rsidRDefault="00515C56" w:rsidP="00CA7BE3">
            <w:pPr>
              <w:jc w:val="center"/>
              <w:rPr>
                <w:b/>
                <w:bCs/>
                <w:color w:val="000000"/>
                <w:szCs w:val="24"/>
              </w:rPr>
            </w:pPr>
            <w:r w:rsidRPr="00AD3867">
              <w:rPr>
                <w:b/>
                <w:bCs/>
                <w:color w:val="000000"/>
                <w:szCs w:val="24"/>
              </w:rPr>
              <w:t xml:space="preserve">Percent </w:t>
            </w:r>
            <w:r w:rsidR="00CA7BE3">
              <w:rPr>
                <w:b/>
                <w:bCs/>
                <w:color w:val="000000"/>
                <w:szCs w:val="24"/>
              </w:rPr>
              <w:t xml:space="preserve">Increase or </w:t>
            </w:r>
            <w:r w:rsidRPr="00AD3867">
              <w:rPr>
                <w:b/>
                <w:bCs/>
                <w:color w:val="000000"/>
                <w:szCs w:val="24"/>
              </w:rPr>
              <w:t>D</w:t>
            </w:r>
            <w:r w:rsidR="00CA7BE3">
              <w:rPr>
                <w:b/>
                <w:bCs/>
                <w:color w:val="000000"/>
                <w:szCs w:val="24"/>
              </w:rPr>
              <w:t>ecreas</w:t>
            </w:r>
            <w:r w:rsidRPr="00AD3867">
              <w:rPr>
                <w:b/>
                <w:bCs/>
                <w:color w:val="000000"/>
                <w:szCs w:val="24"/>
              </w:rPr>
              <w:t>e</w:t>
            </w:r>
            <w:r w:rsidR="00CA7BE3">
              <w:rPr>
                <w:b/>
                <w:bCs/>
                <w:color w:val="000000"/>
                <w:szCs w:val="24"/>
              </w:rPr>
              <w:t xml:space="preserve"> (v2 from v1)</w:t>
            </w:r>
          </w:p>
        </w:tc>
      </w:tr>
      <w:tr w:rsidR="00CA7BE3" w:rsidRPr="00AD3867" w14:paraId="7CF14AB7" w14:textId="77777777" w:rsidTr="00CA7BE3">
        <w:trPr>
          <w:trHeight w:val="334"/>
        </w:trPr>
        <w:tc>
          <w:tcPr>
            <w:tcW w:w="692" w:type="dxa"/>
            <w:vMerge/>
            <w:tcBorders>
              <w:top w:val="single" w:sz="8" w:space="0" w:color="auto"/>
              <w:left w:val="single" w:sz="8" w:space="0" w:color="auto"/>
              <w:bottom w:val="single" w:sz="8" w:space="0" w:color="000000"/>
              <w:right w:val="single" w:sz="8" w:space="0" w:color="auto"/>
            </w:tcBorders>
            <w:vAlign w:val="center"/>
            <w:hideMark/>
          </w:tcPr>
          <w:p w14:paraId="07E0566C" w14:textId="77777777" w:rsidR="00515C56" w:rsidRPr="00AD3867" w:rsidRDefault="00515C56">
            <w:pPr>
              <w:rPr>
                <w:rFonts w:ascii="Calibri" w:hAnsi="Calibri" w:cs="Calibri"/>
                <w:b/>
                <w:bCs/>
                <w:color w:val="000000"/>
                <w:szCs w:val="24"/>
              </w:rPr>
            </w:pPr>
          </w:p>
        </w:tc>
        <w:tc>
          <w:tcPr>
            <w:tcW w:w="773" w:type="dxa"/>
            <w:tcBorders>
              <w:top w:val="nil"/>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44603517" w14:textId="77777777" w:rsidR="00515C56" w:rsidRPr="00AD3867" w:rsidRDefault="00515C56">
            <w:pPr>
              <w:jc w:val="center"/>
              <w:rPr>
                <w:b/>
                <w:bCs/>
                <w:color w:val="000000"/>
                <w:szCs w:val="24"/>
              </w:rPr>
            </w:pPr>
            <w:r w:rsidRPr="00AD3867">
              <w:rPr>
                <w:b/>
                <w:bCs/>
                <w:color w:val="000000"/>
                <w:szCs w:val="24"/>
              </w:rPr>
              <w:t>NOx</w:t>
            </w:r>
          </w:p>
        </w:tc>
        <w:tc>
          <w:tcPr>
            <w:tcW w:w="875" w:type="dxa"/>
            <w:tcBorders>
              <w:top w:val="nil"/>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39E1949D" w14:textId="77777777" w:rsidR="00515C56" w:rsidRPr="00AD3867" w:rsidRDefault="00515C56">
            <w:pPr>
              <w:jc w:val="center"/>
              <w:rPr>
                <w:b/>
                <w:bCs/>
                <w:color w:val="000000"/>
                <w:szCs w:val="24"/>
              </w:rPr>
            </w:pPr>
            <w:r w:rsidRPr="00AD3867">
              <w:rPr>
                <w:b/>
                <w:bCs/>
                <w:color w:val="000000"/>
                <w:szCs w:val="24"/>
              </w:rPr>
              <w:t>VOC</w:t>
            </w:r>
          </w:p>
        </w:tc>
        <w:tc>
          <w:tcPr>
            <w:tcW w:w="885" w:type="dxa"/>
            <w:tcBorders>
              <w:top w:val="nil"/>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1E0F1C09" w14:textId="77777777" w:rsidR="00515C56" w:rsidRPr="00AD3867" w:rsidRDefault="00515C56">
            <w:pPr>
              <w:jc w:val="center"/>
              <w:rPr>
                <w:b/>
                <w:bCs/>
                <w:color w:val="000000"/>
                <w:szCs w:val="24"/>
              </w:rPr>
            </w:pPr>
            <w:r w:rsidRPr="00AD3867">
              <w:rPr>
                <w:b/>
                <w:bCs/>
                <w:color w:val="000000"/>
                <w:szCs w:val="24"/>
              </w:rPr>
              <w:t>CO</w:t>
            </w:r>
          </w:p>
        </w:tc>
        <w:tc>
          <w:tcPr>
            <w:tcW w:w="672" w:type="dxa"/>
            <w:tcBorders>
              <w:top w:val="nil"/>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44B3464F" w14:textId="77777777" w:rsidR="00515C56" w:rsidRPr="00AD3867" w:rsidRDefault="00515C56">
            <w:pPr>
              <w:jc w:val="center"/>
              <w:rPr>
                <w:b/>
                <w:bCs/>
                <w:color w:val="000000"/>
                <w:szCs w:val="24"/>
              </w:rPr>
            </w:pPr>
            <w:r w:rsidRPr="00AD3867">
              <w:rPr>
                <w:b/>
                <w:bCs/>
                <w:color w:val="000000"/>
                <w:szCs w:val="24"/>
              </w:rPr>
              <w:t>SO2</w:t>
            </w:r>
          </w:p>
        </w:tc>
        <w:tc>
          <w:tcPr>
            <w:tcW w:w="749" w:type="dxa"/>
            <w:tcBorders>
              <w:top w:val="nil"/>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2C9D11A7" w14:textId="77777777" w:rsidR="00515C56" w:rsidRPr="00AD3867" w:rsidRDefault="00515C56">
            <w:pPr>
              <w:jc w:val="center"/>
              <w:rPr>
                <w:b/>
                <w:bCs/>
                <w:color w:val="000000"/>
                <w:szCs w:val="24"/>
              </w:rPr>
            </w:pPr>
            <w:r w:rsidRPr="00AD3867">
              <w:rPr>
                <w:b/>
                <w:bCs/>
                <w:color w:val="000000"/>
                <w:szCs w:val="24"/>
              </w:rPr>
              <w:t>PM10</w:t>
            </w:r>
          </w:p>
        </w:tc>
        <w:tc>
          <w:tcPr>
            <w:tcW w:w="808" w:type="dxa"/>
            <w:tcBorders>
              <w:top w:val="nil"/>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20BAFC0D" w14:textId="77777777" w:rsidR="00515C56" w:rsidRPr="00AD3867" w:rsidRDefault="00515C56">
            <w:pPr>
              <w:jc w:val="center"/>
              <w:rPr>
                <w:b/>
                <w:bCs/>
                <w:color w:val="000000"/>
                <w:szCs w:val="24"/>
              </w:rPr>
            </w:pPr>
            <w:r w:rsidRPr="00AD3867">
              <w:rPr>
                <w:b/>
                <w:bCs/>
                <w:color w:val="000000"/>
                <w:szCs w:val="24"/>
              </w:rPr>
              <w:t>PM2.5</w:t>
            </w:r>
          </w:p>
        </w:tc>
        <w:tc>
          <w:tcPr>
            <w:tcW w:w="829" w:type="dxa"/>
            <w:gridSpan w:val="2"/>
            <w:tcBorders>
              <w:top w:val="nil"/>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40644408" w14:textId="77777777" w:rsidR="00515C56" w:rsidRPr="00AD3867" w:rsidRDefault="00515C56">
            <w:pPr>
              <w:jc w:val="center"/>
              <w:rPr>
                <w:b/>
                <w:bCs/>
                <w:color w:val="000000"/>
                <w:szCs w:val="24"/>
              </w:rPr>
            </w:pPr>
            <w:r w:rsidRPr="00AD3867">
              <w:rPr>
                <w:b/>
                <w:bCs/>
                <w:color w:val="000000"/>
                <w:szCs w:val="24"/>
              </w:rPr>
              <w:t>NOx</w:t>
            </w:r>
          </w:p>
        </w:tc>
        <w:tc>
          <w:tcPr>
            <w:tcW w:w="875" w:type="dxa"/>
            <w:tcBorders>
              <w:top w:val="nil"/>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6192C16B" w14:textId="77777777" w:rsidR="00515C56" w:rsidRPr="00AD3867" w:rsidRDefault="00515C56">
            <w:pPr>
              <w:jc w:val="center"/>
              <w:rPr>
                <w:b/>
                <w:bCs/>
                <w:color w:val="000000"/>
                <w:szCs w:val="24"/>
              </w:rPr>
            </w:pPr>
            <w:r w:rsidRPr="00AD3867">
              <w:rPr>
                <w:b/>
                <w:bCs/>
                <w:color w:val="000000"/>
                <w:szCs w:val="24"/>
              </w:rPr>
              <w:t>VOC</w:t>
            </w:r>
          </w:p>
        </w:tc>
        <w:tc>
          <w:tcPr>
            <w:tcW w:w="875" w:type="dxa"/>
            <w:tcBorders>
              <w:top w:val="nil"/>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56130FE5" w14:textId="77777777" w:rsidR="00515C56" w:rsidRPr="00AD3867" w:rsidRDefault="00515C56">
            <w:pPr>
              <w:jc w:val="center"/>
              <w:rPr>
                <w:b/>
                <w:bCs/>
                <w:color w:val="000000"/>
                <w:szCs w:val="24"/>
              </w:rPr>
            </w:pPr>
            <w:r w:rsidRPr="00AD3867">
              <w:rPr>
                <w:b/>
                <w:bCs/>
                <w:color w:val="000000"/>
                <w:szCs w:val="24"/>
              </w:rPr>
              <w:t>CO</w:t>
            </w:r>
          </w:p>
        </w:tc>
        <w:tc>
          <w:tcPr>
            <w:tcW w:w="773" w:type="dxa"/>
            <w:tcBorders>
              <w:top w:val="nil"/>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34559EDB" w14:textId="77777777" w:rsidR="00515C56" w:rsidRPr="00AD3867" w:rsidRDefault="00515C56">
            <w:pPr>
              <w:jc w:val="center"/>
              <w:rPr>
                <w:b/>
                <w:bCs/>
                <w:color w:val="000000"/>
                <w:szCs w:val="24"/>
              </w:rPr>
            </w:pPr>
            <w:r w:rsidRPr="00AD3867">
              <w:rPr>
                <w:b/>
                <w:bCs/>
                <w:color w:val="000000"/>
                <w:szCs w:val="24"/>
              </w:rPr>
              <w:t>SO2</w:t>
            </w:r>
          </w:p>
        </w:tc>
        <w:tc>
          <w:tcPr>
            <w:tcW w:w="749" w:type="dxa"/>
            <w:tcBorders>
              <w:top w:val="nil"/>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53BC0928" w14:textId="77777777" w:rsidR="00515C56" w:rsidRPr="00AD3867" w:rsidRDefault="00515C56">
            <w:pPr>
              <w:jc w:val="center"/>
              <w:rPr>
                <w:b/>
                <w:bCs/>
                <w:color w:val="000000"/>
                <w:szCs w:val="24"/>
              </w:rPr>
            </w:pPr>
            <w:r w:rsidRPr="00AD3867">
              <w:rPr>
                <w:b/>
                <w:bCs/>
                <w:color w:val="000000"/>
                <w:szCs w:val="24"/>
              </w:rPr>
              <w:t>PM10</w:t>
            </w:r>
          </w:p>
        </w:tc>
        <w:tc>
          <w:tcPr>
            <w:tcW w:w="808" w:type="dxa"/>
            <w:tcBorders>
              <w:top w:val="nil"/>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6FB815F3" w14:textId="77777777" w:rsidR="00515C56" w:rsidRPr="00AD3867" w:rsidRDefault="00515C56">
            <w:pPr>
              <w:jc w:val="center"/>
              <w:rPr>
                <w:b/>
                <w:bCs/>
                <w:color w:val="000000"/>
                <w:szCs w:val="24"/>
              </w:rPr>
            </w:pPr>
            <w:r w:rsidRPr="00AD3867">
              <w:rPr>
                <w:b/>
                <w:bCs/>
                <w:color w:val="000000"/>
                <w:szCs w:val="24"/>
              </w:rPr>
              <w:t>PM2.5</w:t>
            </w:r>
          </w:p>
        </w:tc>
        <w:tc>
          <w:tcPr>
            <w:tcW w:w="647" w:type="dxa"/>
            <w:tcBorders>
              <w:top w:val="nil"/>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042F03FE" w14:textId="77777777" w:rsidR="00515C56" w:rsidRPr="00AD3867" w:rsidRDefault="00515C56">
            <w:pPr>
              <w:jc w:val="center"/>
              <w:rPr>
                <w:b/>
                <w:bCs/>
                <w:color w:val="000000"/>
                <w:szCs w:val="24"/>
              </w:rPr>
            </w:pPr>
            <w:r w:rsidRPr="00AD3867">
              <w:rPr>
                <w:b/>
                <w:bCs/>
                <w:color w:val="000000"/>
                <w:szCs w:val="24"/>
              </w:rPr>
              <w:t>NOx</w:t>
            </w:r>
          </w:p>
        </w:tc>
        <w:tc>
          <w:tcPr>
            <w:tcW w:w="674" w:type="dxa"/>
            <w:gridSpan w:val="2"/>
            <w:tcBorders>
              <w:top w:val="nil"/>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1AB8CC5E" w14:textId="77777777" w:rsidR="00515C56" w:rsidRPr="00AD3867" w:rsidRDefault="00515C56">
            <w:pPr>
              <w:jc w:val="center"/>
              <w:rPr>
                <w:b/>
                <w:bCs/>
                <w:color w:val="000000"/>
                <w:szCs w:val="24"/>
              </w:rPr>
            </w:pPr>
            <w:r w:rsidRPr="00AD3867">
              <w:rPr>
                <w:b/>
                <w:bCs/>
                <w:color w:val="000000"/>
                <w:szCs w:val="24"/>
              </w:rPr>
              <w:t>VOC</w:t>
            </w:r>
          </w:p>
        </w:tc>
        <w:tc>
          <w:tcPr>
            <w:tcW w:w="641" w:type="dxa"/>
            <w:tcBorders>
              <w:top w:val="nil"/>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3E84E241" w14:textId="77777777" w:rsidR="00515C56" w:rsidRPr="00AD3867" w:rsidRDefault="00515C56">
            <w:pPr>
              <w:jc w:val="center"/>
              <w:rPr>
                <w:b/>
                <w:bCs/>
                <w:color w:val="000000"/>
                <w:szCs w:val="24"/>
              </w:rPr>
            </w:pPr>
            <w:r w:rsidRPr="00AD3867">
              <w:rPr>
                <w:b/>
                <w:bCs/>
                <w:color w:val="000000"/>
                <w:szCs w:val="24"/>
              </w:rPr>
              <w:t>CO</w:t>
            </w:r>
          </w:p>
        </w:tc>
        <w:tc>
          <w:tcPr>
            <w:tcW w:w="712" w:type="dxa"/>
            <w:gridSpan w:val="3"/>
            <w:tcBorders>
              <w:top w:val="nil"/>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0AE8A29F" w14:textId="77777777" w:rsidR="00515C56" w:rsidRPr="00AD3867" w:rsidRDefault="00515C56">
            <w:pPr>
              <w:jc w:val="center"/>
              <w:rPr>
                <w:b/>
                <w:bCs/>
                <w:color w:val="000000"/>
                <w:szCs w:val="24"/>
              </w:rPr>
            </w:pPr>
            <w:r w:rsidRPr="00AD3867">
              <w:rPr>
                <w:b/>
                <w:bCs/>
                <w:color w:val="000000"/>
                <w:szCs w:val="24"/>
              </w:rPr>
              <w:t>SO2</w:t>
            </w:r>
          </w:p>
        </w:tc>
        <w:tc>
          <w:tcPr>
            <w:tcW w:w="797" w:type="dxa"/>
            <w:gridSpan w:val="2"/>
            <w:tcBorders>
              <w:top w:val="nil"/>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19B35A6C" w14:textId="77777777" w:rsidR="00515C56" w:rsidRPr="00AD3867" w:rsidRDefault="00515C56">
            <w:pPr>
              <w:jc w:val="center"/>
              <w:rPr>
                <w:b/>
                <w:bCs/>
                <w:color w:val="000000"/>
                <w:szCs w:val="24"/>
              </w:rPr>
            </w:pPr>
            <w:r w:rsidRPr="00AD3867">
              <w:rPr>
                <w:b/>
                <w:bCs/>
                <w:color w:val="000000"/>
                <w:szCs w:val="24"/>
              </w:rPr>
              <w:t>PM10</w:t>
            </w:r>
          </w:p>
        </w:tc>
        <w:tc>
          <w:tcPr>
            <w:tcW w:w="808" w:type="dxa"/>
            <w:gridSpan w:val="2"/>
            <w:tcBorders>
              <w:top w:val="nil"/>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10A09E9B" w14:textId="77777777" w:rsidR="00515C56" w:rsidRPr="00AD3867" w:rsidRDefault="00515C56">
            <w:pPr>
              <w:jc w:val="center"/>
              <w:rPr>
                <w:b/>
                <w:bCs/>
                <w:color w:val="000000"/>
                <w:szCs w:val="24"/>
              </w:rPr>
            </w:pPr>
            <w:r w:rsidRPr="00AD3867">
              <w:rPr>
                <w:b/>
                <w:bCs/>
                <w:color w:val="000000"/>
                <w:szCs w:val="24"/>
              </w:rPr>
              <w:t>PM2.5</w:t>
            </w:r>
          </w:p>
        </w:tc>
      </w:tr>
      <w:tr w:rsidR="00CA7BE3" w:rsidRPr="00AD3867" w14:paraId="51B55C3C" w14:textId="77777777" w:rsidTr="00CA7BE3">
        <w:trPr>
          <w:trHeight w:val="334"/>
        </w:trPr>
        <w:tc>
          <w:tcPr>
            <w:tcW w:w="6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FCC4757" w14:textId="77777777" w:rsidR="00515C56" w:rsidRPr="00AD3867" w:rsidRDefault="00515C56">
            <w:pPr>
              <w:rPr>
                <w:rFonts w:cstheme="minorHAnsi"/>
                <w:color w:val="000000"/>
                <w:sz w:val="20"/>
                <w:szCs w:val="20"/>
              </w:rPr>
            </w:pPr>
            <w:r w:rsidRPr="00AD3867">
              <w:rPr>
                <w:rFonts w:cstheme="minorHAnsi"/>
                <w:color w:val="000000"/>
                <w:sz w:val="20"/>
                <w:szCs w:val="20"/>
              </w:rPr>
              <w:t>CO</w:t>
            </w:r>
          </w:p>
        </w:tc>
        <w:tc>
          <w:tcPr>
            <w:tcW w:w="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D9ADFE" w14:textId="77777777" w:rsidR="00515C56" w:rsidRPr="00AD3867" w:rsidRDefault="00515C56">
            <w:pPr>
              <w:jc w:val="right"/>
              <w:rPr>
                <w:rFonts w:cstheme="minorHAnsi"/>
                <w:color w:val="000000"/>
                <w:sz w:val="20"/>
                <w:szCs w:val="20"/>
              </w:rPr>
            </w:pPr>
            <w:r w:rsidRPr="00AD3867">
              <w:rPr>
                <w:rFonts w:cstheme="minorHAnsi"/>
                <w:color w:val="000000"/>
                <w:sz w:val="20"/>
                <w:szCs w:val="20"/>
              </w:rPr>
              <w:t>58,031</w:t>
            </w:r>
          </w:p>
        </w:tc>
        <w:tc>
          <w:tcPr>
            <w:tcW w:w="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F4DDDD" w14:textId="77777777" w:rsidR="00515C56" w:rsidRPr="00AD3867" w:rsidRDefault="00515C56">
            <w:pPr>
              <w:jc w:val="right"/>
              <w:rPr>
                <w:rFonts w:cstheme="minorHAnsi"/>
                <w:color w:val="000000"/>
                <w:sz w:val="20"/>
                <w:szCs w:val="20"/>
              </w:rPr>
            </w:pPr>
            <w:r w:rsidRPr="00AD3867">
              <w:rPr>
                <w:rFonts w:cstheme="minorHAnsi"/>
                <w:color w:val="000000"/>
                <w:sz w:val="20"/>
                <w:szCs w:val="20"/>
              </w:rPr>
              <w:t>107,231</w:t>
            </w:r>
          </w:p>
        </w:tc>
        <w:tc>
          <w:tcPr>
            <w:tcW w:w="8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F0330A" w14:textId="77777777" w:rsidR="00515C56" w:rsidRPr="00AD3867" w:rsidRDefault="00515C56">
            <w:pPr>
              <w:jc w:val="right"/>
              <w:rPr>
                <w:rFonts w:cstheme="minorHAnsi"/>
                <w:color w:val="000000"/>
                <w:sz w:val="20"/>
                <w:szCs w:val="20"/>
              </w:rPr>
            </w:pPr>
            <w:r w:rsidRPr="00AD3867">
              <w:rPr>
                <w:rFonts w:cstheme="minorHAnsi"/>
                <w:color w:val="000000"/>
                <w:sz w:val="20"/>
                <w:szCs w:val="20"/>
              </w:rPr>
              <w:t>48,784</w:t>
            </w:r>
          </w:p>
        </w:tc>
        <w:tc>
          <w:tcPr>
            <w:tcW w:w="6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E2D29D" w14:textId="77777777" w:rsidR="00515C56" w:rsidRPr="00AD3867" w:rsidRDefault="00515C56">
            <w:pPr>
              <w:jc w:val="right"/>
              <w:rPr>
                <w:rFonts w:cstheme="minorHAnsi"/>
                <w:color w:val="000000"/>
                <w:sz w:val="20"/>
                <w:szCs w:val="20"/>
              </w:rPr>
            </w:pPr>
            <w:r w:rsidRPr="00AD3867">
              <w:rPr>
                <w:rFonts w:cstheme="minorHAnsi"/>
                <w:color w:val="000000"/>
                <w:sz w:val="20"/>
                <w:szCs w:val="20"/>
              </w:rPr>
              <w:t>522</w:t>
            </w:r>
          </w:p>
        </w:tc>
        <w:tc>
          <w:tcPr>
            <w:tcW w:w="7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B68B8F" w14:textId="77777777" w:rsidR="00515C56" w:rsidRPr="00AD3867" w:rsidRDefault="00515C56">
            <w:pPr>
              <w:jc w:val="right"/>
              <w:rPr>
                <w:rFonts w:cstheme="minorHAnsi"/>
                <w:color w:val="000000"/>
                <w:sz w:val="20"/>
                <w:szCs w:val="20"/>
              </w:rPr>
            </w:pPr>
            <w:r w:rsidRPr="00AD3867">
              <w:rPr>
                <w:rFonts w:cstheme="minorHAnsi"/>
                <w:color w:val="000000"/>
                <w:sz w:val="20"/>
                <w:szCs w:val="20"/>
              </w:rPr>
              <w:t>1,889</w:t>
            </w:r>
          </w:p>
        </w:tc>
        <w:tc>
          <w:tcPr>
            <w:tcW w:w="8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149B1A" w14:textId="77777777" w:rsidR="00515C56" w:rsidRPr="00AD3867" w:rsidRDefault="00515C56">
            <w:pPr>
              <w:jc w:val="right"/>
              <w:rPr>
                <w:rFonts w:cstheme="minorHAnsi"/>
                <w:color w:val="000000"/>
                <w:sz w:val="20"/>
                <w:szCs w:val="20"/>
              </w:rPr>
            </w:pPr>
            <w:r w:rsidRPr="00AD3867">
              <w:rPr>
                <w:rFonts w:cstheme="minorHAnsi"/>
                <w:color w:val="000000"/>
                <w:sz w:val="20"/>
                <w:szCs w:val="20"/>
              </w:rPr>
              <w:t>1,846</w:t>
            </w:r>
          </w:p>
        </w:tc>
        <w:tc>
          <w:tcPr>
            <w:tcW w:w="829"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8F3075" w14:textId="77777777" w:rsidR="00515C56" w:rsidRPr="00AD3867" w:rsidRDefault="00515C56">
            <w:pPr>
              <w:jc w:val="right"/>
              <w:rPr>
                <w:rFonts w:cstheme="minorHAnsi"/>
                <w:color w:val="000000"/>
                <w:sz w:val="20"/>
                <w:szCs w:val="20"/>
              </w:rPr>
            </w:pPr>
            <w:r w:rsidRPr="00AD3867">
              <w:rPr>
                <w:rFonts w:cstheme="minorHAnsi"/>
                <w:color w:val="000000"/>
                <w:sz w:val="20"/>
                <w:szCs w:val="20"/>
              </w:rPr>
              <w:t>65,985</w:t>
            </w:r>
          </w:p>
        </w:tc>
        <w:tc>
          <w:tcPr>
            <w:tcW w:w="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42A8D6" w14:textId="77777777" w:rsidR="00515C56" w:rsidRPr="00AD3867" w:rsidRDefault="00515C56">
            <w:pPr>
              <w:jc w:val="right"/>
              <w:rPr>
                <w:rFonts w:cstheme="minorHAnsi"/>
                <w:color w:val="000000"/>
                <w:sz w:val="20"/>
                <w:szCs w:val="20"/>
              </w:rPr>
            </w:pPr>
            <w:r w:rsidRPr="00AD3867">
              <w:rPr>
                <w:rFonts w:cstheme="minorHAnsi"/>
                <w:color w:val="000000"/>
                <w:sz w:val="20"/>
                <w:szCs w:val="20"/>
              </w:rPr>
              <w:t>189,113</w:t>
            </w:r>
          </w:p>
        </w:tc>
        <w:tc>
          <w:tcPr>
            <w:tcW w:w="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53D34A" w14:textId="77777777" w:rsidR="00515C56" w:rsidRPr="00AD3867" w:rsidRDefault="00515C56">
            <w:pPr>
              <w:jc w:val="right"/>
              <w:rPr>
                <w:rFonts w:cstheme="minorHAnsi"/>
                <w:color w:val="000000"/>
                <w:sz w:val="20"/>
                <w:szCs w:val="20"/>
              </w:rPr>
            </w:pPr>
            <w:r w:rsidRPr="00AD3867">
              <w:rPr>
                <w:rFonts w:cstheme="minorHAnsi"/>
                <w:color w:val="000000"/>
                <w:sz w:val="20"/>
                <w:szCs w:val="20"/>
              </w:rPr>
              <w:t>56,710</w:t>
            </w:r>
          </w:p>
        </w:tc>
        <w:tc>
          <w:tcPr>
            <w:tcW w:w="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DD848B" w14:textId="77777777" w:rsidR="00515C56" w:rsidRPr="00AD3867" w:rsidRDefault="00515C56">
            <w:pPr>
              <w:jc w:val="right"/>
              <w:rPr>
                <w:rFonts w:cstheme="minorHAnsi"/>
                <w:color w:val="000000"/>
                <w:sz w:val="20"/>
                <w:szCs w:val="20"/>
              </w:rPr>
            </w:pPr>
            <w:r w:rsidRPr="00AD3867">
              <w:rPr>
                <w:rFonts w:cstheme="minorHAnsi"/>
                <w:color w:val="000000"/>
                <w:sz w:val="20"/>
                <w:szCs w:val="20"/>
              </w:rPr>
              <w:t>710</w:t>
            </w:r>
          </w:p>
        </w:tc>
        <w:tc>
          <w:tcPr>
            <w:tcW w:w="7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329DFC" w14:textId="77777777" w:rsidR="00515C56" w:rsidRPr="00AD3867" w:rsidRDefault="00515C56">
            <w:pPr>
              <w:jc w:val="right"/>
              <w:rPr>
                <w:rFonts w:cstheme="minorHAnsi"/>
                <w:color w:val="000000"/>
                <w:sz w:val="20"/>
                <w:szCs w:val="20"/>
              </w:rPr>
            </w:pPr>
            <w:r w:rsidRPr="00AD3867">
              <w:rPr>
                <w:rFonts w:cstheme="minorHAnsi"/>
                <w:color w:val="000000"/>
                <w:sz w:val="20"/>
                <w:szCs w:val="20"/>
              </w:rPr>
              <w:t>1,929</w:t>
            </w:r>
          </w:p>
        </w:tc>
        <w:tc>
          <w:tcPr>
            <w:tcW w:w="8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E3D66B" w14:textId="77777777" w:rsidR="00515C56" w:rsidRPr="00AD3867" w:rsidRDefault="00515C56">
            <w:pPr>
              <w:jc w:val="right"/>
              <w:rPr>
                <w:rFonts w:cstheme="minorHAnsi"/>
                <w:color w:val="000000"/>
                <w:sz w:val="20"/>
                <w:szCs w:val="20"/>
              </w:rPr>
            </w:pPr>
            <w:r w:rsidRPr="00AD3867">
              <w:rPr>
                <w:rFonts w:cstheme="minorHAnsi"/>
                <w:color w:val="000000"/>
                <w:sz w:val="20"/>
                <w:szCs w:val="20"/>
              </w:rPr>
              <w:t>1,929</w:t>
            </w:r>
          </w:p>
        </w:tc>
        <w:tc>
          <w:tcPr>
            <w:tcW w:w="6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A582BD" w14:textId="77777777" w:rsidR="00515C56" w:rsidRPr="00AD3867" w:rsidRDefault="00515C56">
            <w:pPr>
              <w:jc w:val="right"/>
              <w:rPr>
                <w:rFonts w:cstheme="minorHAnsi"/>
                <w:color w:val="000000"/>
                <w:sz w:val="20"/>
                <w:szCs w:val="20"/>
              </w:rPr>
            </w:pPr>
            <w:r w:rsidRPr="00AD3867">
              <w:rPr>
                <w:rFonts w:cstheme="minorHAnsi"/>
                <w:color w:val="000000"/>
                <w:sz w:val="20"/>
                <w:szCs w:val="20"/>
              </w:rPr>
              <w:t>14%</w:t>
            </w:r>
          </w:p>
        </w:tc>
        <w:tc>
          <w:tcPr>
            <w:tcW w:w="67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956B85" w14:textId="77777777" w:rsidR="00515C56" w:rsidRPr="00AD3867" w:rsidRDefault="00515C56">
            <w:pPr>
              <w:jc w:val="right"/>
              <w:rPr>
                <w:rFonts w:cstheme="minorHAnsi"/>
                <w:color w:val="000000"/>
                <w:sz w:val="20"/>
                <w:szCs w:val="20"/>
              </w:rPr>
            </w:pPr>
            <w:r w:rsidRPr="00AD3867">
              <w:rPr>
                <w:rFonts w:cstheme="minorHAnsi"/>
                <w:color w:val="000000"/>
                <w:sz w:val="20"/>
                <w:szCs w:val="20"/>
              </w:rPr>
              <w:t>76%</w:t>
            </w:r>
          </w:p>
        </w:tc>
        <w:tc>
          <w:tcPr>
            <w:tcW w:w="6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4AA583" w14:textId="77777777" w:rsidR="00515C56" w:rsidRPr="00AD3867" w:rsidRDefault="00515C56">
            <w:pPr>
              <w:jc w:val="right"/>
              <w:rPr>
                <w:rFonts w:cstheme="minorHAnsi"/>
                <w:color w:val="000000"/>
                <w:sz w:val="20"/>
                <w:szCs w:val="20"/>
              </w:rPr>
            </w:pPr>
            <w:r w:rsidRPr="00AD3867">
              <w:rPr>
                <w:rFonts w:cstheme="minorHAnsi"/>
                <w:color w:val="000000"/>
                <w:sz w:val="20"/>
                <w:szCs w:val="20"/>
              </w:rPr>
              <w:t>16%</w:t>
            </w:r>
          </w:p>
        </w:tc>
        <w:tc>
          <w:tcPr>
            <w:tcW w:w="712"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BC3E0C" w14:textId="77777777" w:rsidR="00515C56" w:rsidRPr="00AD3867" w:rsidRDefault="00515C56">
            <w:pPr>
              <w:jc w:val="right"/>
              <w:rPr>
                <w:rFonts w:cstheme="minorHAnsi"/>
                <w:color w:val="000000"/>
                <w:sz w:val="20"/>
                <w:szCs w:val="20"/>
              </w:rPr>
            </w:pPr>
            <w:r w:rsidRPr="00AD3867">
              <w:rPr>
                <w:rFonts w:cstheme="minorHAnsi"/>
                <w:color w:val="000000"/>
                <w:sz w:val="20"/>
                <w:szCs w:val="20"/>
              </w:rPr>
              <w:t>36%</w:t>
            </w:r>
          </w:p>
        </w:tc>
        <w:tc>
          <w:tcPr>
            <w:tcW w:w="797"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A539AF" w14:textId="77777777" w:rsidR="00515C56" w:rsidRPr="00AD3867" w:rsidRDefault="00515C56">
            <w:pPr>
              <w:jc w:val="right"/>
              <w:rPr>
                <w:rFonts w:cstheme="minorHAnsi"/>
                <w:color w:val="000000"/>
                <w:sz w:val="20"/>
                <w:szCs w:val="20"/>
              </w:rPr>
            </w:pPr>
            <w:r w:rsidRPr="00AD3867">
              <w:rPr>
                <w:rFonts w:cstheme="minorHAnsi"/>
                <w:color w:val="000000"/>
                <w:sz w:val="20"/>
                <w:szCs w:val="20"/>
              </w:rPr>
              <w:t>2%</w:t>
            </w:r>
          </w:p>
        </w:tc>
        <w:tc>
          <w:tcPr>
            <w:tcW w:w="80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A2DAEC" w14:textId="77777777" w:rsidR="00515C56" w:rsidRPr="00AD3867" w:rsidRDefault="00515C56">
            <w:pPr>
              <w:jc w:val="right"/>
              <w:rPr>
                <w:rFonts w:cstheme="minorHAnsi"/>
                <w:color w:val="000000"/>
                <w:sz w:val="20"/>
                <w:szCs w:val="20"/>
              </w:rPr>
            </w:pPr>
            <w:r w:rsidRPr="00AD3867">
              <w:rPr>
                <w:rFonts w:cstheme="minorHAnsi"/>
                <w:color w:val="000000"/>
                <w:sz w:val="20"/>
                <w:szCs w:val="20"/>
              </w:rPr>
              <w:t>4%</w:t>
            </w:r>
          </w:p>
        </w:tc>
      </w:tr>
      <w:tr w:rsidR="00CA7BE3" w:rsidRPr="00AD3867" w14:paraId="40405353" w14:textId="77777777" w:rsidTr="00CA7BE3">
        <w:trPr>
          <w:trHeight w:val="334"/>
        </w:trPr>
        <w:tc>
          <w:tcPr>
            <w:tcW w:w="6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5A05518" w14:textId="77777777" w:rsidR="00515C56" w:rsidRPr="00AD3867" w:rsidRDefault="00515C56">
            <w:pPr>
              <w:rPr>
                <w:rFonts w:cstheme="minorHAnsi"/>
                <w:color w:val="000000"/>
                <w:sz w:val="20"/>
                <w:szCs w:val="20"/>
              </w:rPr>
            </w:pPr>
            <w:r w:rsidRPr="00AD3867">
              <w:rPr>
                <w:rFonts w:cstheme="minorHAnsi"/>
                <w:color w:val="000000"/>
                <w:sz w:val="20"/>
                <w:szCs w:val="20"/>
              </w:rPr>
              <w:t>MT</w:t>
            </w:r>
          </w:p>
        </w:tc>
        <w:tc>
          <w:tcPr>
            <w:tcW w:w="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ED57C0" w14:textId="77777777" w:rsidR="00515C56" w:rsidRPr="00AD3867" w:rsidRDefault="00515C56">
            <w:pPr>
              <w:jc w:val="right"/>
              <w:rPr>
                <w:rFonts w:cstheme="minorHAnsi"/>
                <w:color w:val="000000"/>
                <w:sz w:val="20"/>
                <w:szCs w:val="20"/>
              </w:rPr>
            </w:pPr>
            <w:r w:rsidRPr="00AD3867">
              <w:rPr>
                <w:rFonts w:cstheme="minorHAnsi"/>
                <w:color w:val="000000"/>
                <w:sz w:val="20"/>
                <w:szCs w:val="20"/>
              </w:rPr>
              <w:t>5,828</w:t>
            </w:r>
          </w:p>
        </w:tc>
        <w:tc>
          <w:tcPr>
            <w:tcW w:w="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4C5F61" w14:textId="77777777" w:rsidR="00515C56" w:rsidRPr="00AD3867" w:rsidRDefault="00515C56">
            <w:pPr>
              <w:jc w:val="right"/>
              <w:rPr>
                <w:rFonts w:cstheme="minorHAnsi"/>
                <w:color w:val="000000"/>
                <w:sz w:val="20"/>
                <w:szCs w:val="20"/>
              </w:rPr>
            </w:pPr>
            <w:r w:rsidRPr="00AD3867">
              <w:rPr>
                <w:rFonts w:cstheme="minorHAnsi"/>
                <w:color w:val="000000"/>
                <w:sz w:val="20"/>
                <w:szCs w:val="20"/>
              </w:rPr>
              <w:t>50,965</w:t>
            </w:r>
          </w:p>
        </w:tc>
        <w:tc>
          <w:tcPr>
            <w:tcW w:w="8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F3E506" w14:textId="77777777" w:rsidR="00515C56" w:rsidRPr="00AD3867" w:rsidRDefault="00515C56">
            <w:pPr>
              <w:jc w:val="right"/>
              <w:rPr>
                <w:rFonts w:cstheme="minorHAnsi"/>
                <w:color w:val="000000"/>
                <w:sz w:val="20"/>
                <w:szCs w:val="20"/>
              </w:rPr>
            </w:pPr>
            <w:r w:rsidRPr="00AD3867">
              <w:rPr>
                <w:rFonts w:cstheme="minorHAnsi"/>
                <w:color w:val="000000"/>
                <w:sz w:val="20"/>
                <w:szCs w:val="20"/>
              </w:rPr>
              <w:t>5,255</w:t>
            </w:r>
          </w:p>
        </w:tc>
        <w:tc>
          <w:tcPr>
            <w:tcW w:w="6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A620BF" w14:textId="77777777" w:rsidR="00515C56" w:rsidRPr="00AD3867" w:rsidRDefault="00515C56">
            <w:pPr>
              <w:jc w:val="right"/>
              <w:rPr>
                <w:rFonts w:cstheme="minorHAnsi"/>
                <w:color w:val="000000"/>
                <w:sz w:val="20"/>
                <w:szCs w:val="20"/>
              </w:rPr>
            </w:pPr>
            <w:r w:rsidRPr="00AD3867">
              <w:rPr>
                <w:rFonts w:cstheme="minorHAnsi"/>
                <w:color w:val="000000"/>
                <w:sz w:val="20"/>
                <w:szCs w:val="20"/>
              </w:rPr>
              <w:t>293</w:t>
            </w:r>
          </w:p>
        </w:tc>
        <w:tc>
          <w:tcPr>
            <w:tcW w:w="7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432C1B" w14:textId="77777777" w:rsidR="00515C56" w:rsidRPr="00AD3867" w:rsidRDefault="00515C56">
            <w:pPr>
              <w:jc w:val="right"/>
              <w:rPr>
                <w:rFonts w:cstheme="minorHAnsi"/>
                <w:color w:val="000000"/>
                <w:sz w:val="20"/>
                <w:szCs w:val="20"/>
              </w:rPr>
            </w:pPr>
            <w:r w:rsidRPr="00AD3867">
              <w:rPr>
                <w:rFonts w:cstheme="minorHAnsi"/>
                <w:color w:val="000000"/>
                <w:sz w:val="20"/>
                <w:szCs w:val="20"/>
              </w:rPr>
              <w:t>233</w:t>
            </w:r>
          </w:p>
        </w:tc>
        <w:tc>
          <w:tcPr>
            <w:tcW w:w="8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FFF73A" w14:textId="77777777" w:rsidR="00515C56" w:rsidRPr="00AD3867" w:rsidRDefault="00515C56">
            <w:pPr>
              <w:jc w:val="right"/>
              <w:rPr>
                <w:rFonts w:cstheme="minorHAnsi"/>
                <w:color w:val="000000"/>
                <w:sz w:val="20"/>
                <w:szCs w:val="20"/>
              </w:rPr>
            </w:pPr>
            <w:r w:rsidRPr="00AD3867">
              <w:rPr>
                <w:rFonts w:cstheme="minorHAnsi"/>
                <w:color w:val="000000"/>
                <w:sz w:val="20"/>
                <w:szCs w:val="20"/>
              </w:rPr>
              <w:t>178</w:t>
            </w:r>
          </w:p>
        </w:tc>
        <w:tc>
          <w:tcPr>
            <w:tcW w:w="829"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BC49CE" w14:textId="77777777" w:rsidR="00515C56" w:rsidRPr="00AD3867" w:rsidRDefault="00515C56">
            <w:pPr>
              <w:jc w:val="right"/>
              <w:rPr>
                <w:rFonts w:cstheme="minorHAnsi"/>
                <w:color w:val="000000"/>
                <w:sz w:val="20"/>
                <w:szCs w:val="20"/>
              </w:rPr>
            </w:pPr>
            <w:r w:rsidRPr="00AD3867">
              <w:rPr>
                <w:rFonts w:cstheme="minorHAnsi"/>
                <w:color w:val="000000"/>
                <w:sz w:val="20"/>
                <w:szCs w:val="20"/>
              </w:rPr>
              <w:t>5,933</w:t>
            </w:r>
          </w:p>
        </w:tc>
        <w:tc>
          <w:tcPr>
            <w:tcW w:w="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684698" w14:textId="77777777" w:rsidR="00515C56" w:rsidRPr="00AD3867" w:rsidRDefault="00515C56">
            <w:pPr>
              <w:jc w:val="right"/>
              <w:rPr>
                <w:rFonts w:cstheme="minorHAnsi"/>
                <w:color w:val="000000"/>
                <w:sz w:val="20"/>
                <w:szCs w:val="20"/>
              </w:rPr>
            </w:pPr>
            <w:r w:rsidRPr="00AD3867">
              <w:rPr>
                <w:rFonts w:cstheme="minorHAnsi"/>
                <w:color w:val="000000"/>
                <w:sz w:val="20"/>
                <w:szCs w:val="20"/>
              </w:rPr>
              <w:t>50,995</w:t>
            </w:r>
          </w:p>
        </w:tc>
        <w:tc>
          <w:tcPr>
            <w:tcW w:w="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68F849" w14:textId="77777777" w:rsidR="00515C56" w:rsidRPr="00AD3867" w:rsidRDefault="00515C56">
            <w:pPr>
              <w:jc w:val="right"/>
              <w:rPr>
                <w:rFonts w:cstheme="minorHAnsi"/>
                <w:color w:val="000000"/>
                <w:sz w:val="20"/>
                <w:szCs w:val="20"/>
              </w:rPr>
            </w:pPr>
            <w:r w:rsidRPr="00AD3867">
              <w:rPr>
                <w:rFonts w:cstheme="minorHAnsi"/>
                <w:color w:val="000000"/>
                <w:sz w:val="20"/>
                <w:szCs w:val="20"/>
              </w:rPr>
              <w:t>5,448</w:t>
            </w:r>
          </w:p>
        </w:tc>
        <w:tc>
          <w:tcPr>
            <w:tcW w:w="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09AB6F" w14:textId="77777777" w:rsidR="00515C56" w:rsidRPr="00AD3867" w:rsidRDefault="00515C56">
            <w:pPr>
              <w:jc w:val="right"/>
              <w:rPr>
                <w:rFonts w:cstheme="minorHAnsi"/>
                <w:color w:val="000000"/>
                <w:sz w:val="20"/>
                <w:szCs w:val="20"/>
              </w:rPr>
            </w:pPr>
            <w:r w:rsidRPr="00AD3867">
              <w:rPr>
                <w:rFonts w:cstheme="minorHAnsi"/>
                <w:color w:val="000000"/>
                <w:sz w:val="20"/>
                <w:szCs w:val="20"/>
              </w:rPr>
              <w:t>288</w:t>
            </w:r>
          </w:p>
        </w:tc>
        <w:tc>
          <w:tcPr>
            <w:tcW w:w="7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02B3E4" w14:textId="77777777" w:rsidR="00515C56" w:rsidRPr="00AD3867" w:rsidRDefault="00515C56">
            <w:pPr>
              <w:jc w:val="right"/>
              <w:rPr>
                <w:rFonts w:cstheme="minorHAnsi"/>
                <w:color w:val="000000"/>
                <w:sz w:val="20"/>
                <w:szCs w:val="20"/>
              </w:rPr>
            </w:pPr>
            <w:r w:rsidRPr="00AD3867">
              <w:rPr>
                <w:rFonts w:cstheme="minorHAnsi"/>
                <w:color w:val="000000"/>
                <w:sz w:val="20"/>
                <w:szCs w:val="20"/>
              </w:rPr>
              <w:t>175</w:t>
            </w:r>
          </w:p>
        </w:tc>
        <w:tc>
          <w:tcPr>
            <w:tcW w:w="8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BC0141" w14:textId="77777777" w:rsidR="00515C56" w:rsidRPr="00AD3867" w:rsidRDefault="00515C56">
            <w:pPr>
              <w:jc w:val="right"/>
              <w:rPr>
                <w:rFonts w:cstheme="minorHAnsi"/>
                <w:color w:val="000000"/>
                <w:sz w:val="20"/>
                <w:szCs w:val="20"/>
              </w:rPr>
            </w:pPr>
            <w:r w:rsidRPr="00AD3867">
              <w:rPr>
                <w:rFonts w:cstheme="minorHAnsi"/>
                <w:color w:val="000000"/>
                <w:sz w:val="20"/>
                <w:szCs w:val="20"/>
              </w:rPr>
              <w:t>175</w:t>
            </w:r>
          </w:p>
        </w:tc>
        <w:tc>
          <w:tcPr>
            <w:tcW w:w="6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88E2C4" w14:textId="77777777" w:rsidR="00515C56" w:rsidRPr="00AD3867" w:rsidRDefault="00515C56">
            <w:pPr>
              <w:jc w:val="right"/>
              <w:rPr>
                <w:rFonts w:cstheme="minorHAnsi"/>
                <w:color w:val="000000"/>
                <w:sz w:val="20"/>
                <w:szCs w:val="20"/>
              </w:rPr>
            </w:pPr>
            <w:r w:rsidRPr="00AD3867">
              <w:rPr>
                <w:rFonts w:cstheme="minorHAnsi"/>
                <w:color w:val="000000"/>
                <w:sz w:val="20"/>
                <w:szCs w:val="20"/>
              </w:rPr>
              <w:t>2%</w:t>
            </w:r>
          </w:p>
        </w:tc>
        <w:tc>
          <w:tcPr>
            <w:tcW w:w="67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707655" w14:textId="77777777" w:rsidR="00515C56" w:rsidRPr="00AD3867" w:rsidRDefault="00515C56">
            <w:pPr>
              <w:jc w:val="right"/>
              <w:rPr>
                <w:rFonts w:cstheme="minorHAnsi"/>
                <w:color w:val="000000"/>
                <w:sz w:val="20"/>
                <w:szCs w:val="20"/>
              </w:rPr>
            </w:pPr>
            <w:r w:rsidRPr="00AD3867">
              <w:rPr>
                <w:rFonts w:cstheme="minorHAnsi"/>
                <w:color w:val="000000"/>
                <w:sz w:val="20"/>
                <w:szCs w:val="20"/>
              </w:rPr>
              <w:t>0%</w:t>
            </w:r>
          </w:p>
        </w:tc>
        <w:tc>
          <w:tcPr>
            <w:tcW w:w="6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7881C1" w14:textId="77777777" w:rsidR="00515C56" w:rsidRPr="00AD3867" w:rsidRDefault="00515C56">
            <w:pPr>
              <w:jc w:val="right"/>
              <w:rPr>
                <w:rFonts w:cstheme="minorHAnsi"/>
                <w:color w:val="000000"/>
                <w:sz w:val="20"/>
                <w:szCs w:val="20"/>
              </w:rPr>
            </w:pPr>
            <w:r w:rsidRPr="00AD3867">
              <w:rPr>
                <w:rFonts w:cstheme="minorHAnsi"/>
                <w:color w:val="000000"/>
                <w:sz w:val="20"/>
                <w:szCs w:val="20"/>
              </w:rPr>
              <w:t>4%</w:t>
            </w:r>
          </w:p>
        </w:tc>
        <w:tc>
          <w:tcPr>
            <w:tcW w:w="712"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16B217" w14:textId="77777777" w:rsidR="00515C56" w:rsidRPr="00AD3867" w:rsidRDefault="00515C56">
            <w:pPr>
              <w:jc w:val="right"/>
              <w:rPr>
                <w:rFonts w:cstheme="minorHAnsi"/>
                <w:color w:val="000000"/>
                <w:sz w:val="20"/>
                <w:szCs w:val="20"/>
              </w:rPr>
            </w:pPr>
            <w:r w:rsidRPr="00AD3867">
              <w:rPr>
                <w:rFonts w:cstheme="minorHAnsi"/>
                <w:color w:val="000000"/>
                <w:sz w:val="20"/>
                <w:szCs w:val="20"/>
              </w:rPr>
              <w:t>-2%</w:t>
            </w:r>
          </w:p>
        </w:tc>
        <w:tc>
          <w:tcPr>
            <w:tcW w:w="797"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BAE230" w14:textId="77777777" w:rsidR="00515C56" w:rsidRPr="00AD3867" w:rsidRDefault="00515C56">
            <w:pPr>
              <w:jc w:val="right"/>
              <w:rPr>
                <w:rFonts w:cstheme="minorHAnsi"/>
                <w:color w:val="000000"/>
                <w:sz w:val="20"/>
                <w:szCs w:val="20"/>
              </w:rPr>
            </w:pPr>
            <w:r w:rsidRPr="00AD3867">
              <w:rPr>
                <w:rFonts w:cstheme="minorHAnsi"/>
                <w:color w:val="000000"/>
                <w:sz w:val="20"/>
                <w:szCs w:val="20"/>
              </w:rPr>
              <w:t>-25%</w:t>
            </w:r>
          </w:p>
        </w:tc>
        <w:tc>
          <w:tcPr>
            <w:tcW w:w="80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84305E" w14:textId="77777777" w:rsidR="00515C56" w:rsidRPr="00AD3867" w:rsidRDefault="00515C56">
            <w:pPr>
              <w:jc w:val="right"/>
              <w:rPr>
                <w:rFonts w:cstheme="minorHAnsi"/>
                <w:color w:val="000000"/>
                <w:sz w:val="20"/>
                <w:szCs w:val="20"/>
              </w:rPr>
            </w:pPr>
            <w:r w:rsidRPr="00AD3867">
              <w:rPr>
                <w:rFonts w:cstheme="minorHAnsi"/>
                <w:color w:val="000000"/>
                <w:sz w:val="20"/>
                <w:szCs w:val="20"/>
              </w:rPr>
              <w:t>-2%</w:t>
            </w:r>
          </w:p>
        </w:tc>
      </w:tr>
      <w:tr w:rsidR="00CA7BE3" w:rsidRPr="00AD3867" w14:paraId="337B0B93" w14:textId="77777777" w:rsidTr="00CA7BE3">
        <w:trPr>
          <w:trHeight w:val="334"/>
        </w:trPr>
        <w:tc>
          <w:tcPr>
            <w:tcW w:w="692" w:type="dxa"/>
            <w:tcBorders>
              <w:top w:val="nil"/>
              <w:left w:val="single" w:sz="8" w:space="0" w:color="auto"/>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7EC9746F" w14:textId="77777777" w:rsidR="00515C56" w:rsidRPr="00AD3867" w:rsidRDefault="00515C56">
            <w:pPr>
              <w:rPr>
                <w:rFonts w:cstheme="minorHAnsi"/>
                <w:color w:val="000000"/>
                <w:sz w:val="20"/>
                <w:szCs w:val="20"/>
              </w:rPr>
            </w:pPr>
            <w:r w:rsidRPr="00AD3867">
              <w:rPr>
                <w:rFonts w:cstheme="minorHAnsi"/>
                <w:color w:val="000000"/>
                <w:sz w:val="20"/>
                <w:szCs w:val="20"/>
              </w:rPr>
              <w:t>NM</w:t>
            </w:r>
          </w:p>
        </w:tc>
        <w:tc>
          <w:tcPr>
            <w:tcW w:w="773"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1184CC00" w14:textId="77777777" w:rsidR="00515C56" w:rsidRPr="00AD3867" w:rsidRDefault="00515C56">
            <w:pPr>
              <w:jc w:val="right"/>
              <w:rPr>
                <w:rFonts w:cstheme="minorHAnsi"/>
                <w:color w:val="000000"/>
                <w:sz w:val="20"/>
                <w:szCs w:val="20"/>
              </w:rPr>
            </w:pPr>
            <w:r w:rsidRPr="00AD3867">
              <w:rPr>
                <w:rFonts w:cstheme="minorHAnsi"/>
                <w:color w:val="000000"/>
                <w:sz w:val="20"/>
                <w:szCs w:val="20"/>
              </w:rPr>
              <w:t>54,253</w:t>
            </w:r>
          </w:p>
        </w:tc>
        <w:tc>
          <w:tcPr>
            <w:tcW w:w="875"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2E92D147" w14:textId="77777777" w:rsidR="00515C56" w:rsidRPr="00AD3867" w:rsidRDefault="00515C56">
            <w:pPr>
              <w:jc w:val="right"/>
              <w:rPr>
                <w:rFonts w:cstheme="minorHAnsi"/>
                <w:color w:val="000000"/>
                <w:sz w:val="20"/>
                <w:szCs w:val="20"/>
              </w:rPr>
            </w:pPr>
            <w:r w:rsidRPr="00AD3867">
              <w:rPr>
                <w:rFonts w:cstheme="minorHAnsi"/>
                <w:color w:val="000000"/>
                <w:sz w:val="20"/>
                <w:szCs w:val="20"/>
              </w:rPr>
              <w:t>178,156</w:t>
            </w:r>
          </w:p>
        </w:tc>
        <w:tc>
          <w:tcPr>
            <w:tcW w:w="885"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517349E3" w14:textId="77777777" w:rsidR="00515C56" w:rsidRPr="00AD3867" w:rsidRDefault="00515C56">
            <w:pPr>
              <w:jc w:val="right"/>
              <w:rPr>
                <w:rFonts w:cstheme="minorHAnsi"/>
                <w:color w:val="000000"/>
                <w:sz w:val="20"/>
                <w:szCs w:val="20"/>
              </w:rPr>
            </w:pPr>
            <w:r w:rsidRPr="00AD3867">
              <w:rPr>
                <w:rFonts w:cstheme="minorHAnsi"/>
                <w:color w:val="000000"/>
                <w:sz w:val="20"/>
                <w:szCs w:val="20"/>
              </w:rPr>
              <w:t>58,683</w:t>
            </w:r>
          </w:p>
        </w:tc>
        <w:tc>
          <w:tcPr>
            <w:tcW w:w="672"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4EE6730A" w14:textId="77777777" w:rsidR="00515C56" w:rsidRPr="00AD3867" w:rsidRDefault="00515C56">
            <w:pPr>
              <w:jc w:val="right"/>
              <w:rPr>
                <w:rFonts w:cstheme="minorHAnsi"/>
                <w:color w:val="000000"/>
                <w:sz w:val="20"/>
                <w:szCs w:val="20"/>
              </w:rPr>
            </w:pPr>
            <w:r w:rsidRPr="00AD3867">
              <w:rPr>
                <w:rFonts w:cstheme="minorHAnsi"/>
                <w:color w:val="000000"/>
                <w:sz w:val="20"/>
                <w:szCs w:val="20"/>
              </w:rPr>
              <w:t>7,355</w:t>
            </w:r>
          </w:p>
        </w:tc>
        <w:tc>
          <w:tcPr>
            <w:tcW w:w="749"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79D81DD9" w14:textId="77777777" w:rsidR="00515C56" w:rsidRPr="00AD3867" w:rsidRDefault="00515C56">
            <w:pPr>
              <w:jc w:val="right"/>
              <w:rPr>
                <w:rFonts w:cstheme="minorHAnsi"/>
                <w:color w:val="000000"/>
                <w:sz w:val="20"/>
                <w:szCs w:val="20"/>
              </w:rPr>
            </w:pPr>
            <w:r w:rsidRPr="00AD3867">
              <w:rPr>
                <w:rFonts w:cstheme="minorHAnsi"/>
                <w:color w:val="000000"/>
                <w:sz w:val="20"/>
                <w:szCs w:val="20"/>
              </w:rPr>
              <w:t>1,014</w:t>
            </w:r>
          </w:p>
        </w:tc>
        <w:tc>
          <w:tcPr>
            <w:tcW w:w="808"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72FDF827" w14:textId="77777777" w:rsidR="00515C56" w:rsidRPr="00AD3867" w:rsidRDefault="00515C56">
            <w:pPr>
              <w:jc w:val="right"/>
              <w:rPr>
                <w:rFonts w:cstheme="minorHAnsi"/>
                <w:color w:val="000000"/>
                <w:sz w:val="20"/>
                <w:szCs w:val="20"/>
              </w:rPr>
            </w:pPr>
            <w:r w:rsidRPr="00AD3867">
              <w:rPr>
                <w:rFonts w:cstheme="minorHAnsi"/>
                <w:color w:val="000000"/>
                <w:sz w:val="20"/>
                <w:szCs w:val="20"/>
              </w:rPr>
              <w:t>1,004</w:t>
            </w:r>
          </w:p>
        </w:tc>
        <w:tc>
          <w:tcPr>
            <w:tcW w:w="829" w:type="dxa"/>
            <w:gridSpan w:val="2"/>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1425E6C8" w14:textId="77777777" w:rsidR="00515C56" w:rsidRPr="00AD3867" w:rsidRDefault="00515C56">
            <w:pPr>
              <w:jc w:val="right"/>
              <w:rPr>
                <w:rFonts w:cstheme="minorHAnsi"/>
                <w:color w:val="000000"/>
                <w:sz w:val="20"/>
                <w:szCs w:val="20"/>
              </w:rPr>
            </w:pPr>
            <w:r w:rsidRPr="00AD3867">
              <w:rPr>
                <w:rFonts w:cstheme="minorHAnsi"/>
                <w:color w:val="000000"/>
                <w:sz w:val="20"/>
                <w:szCs w:val="20"/>
              </w:rPr>
              <w:t>76,288</w:t>
            </w:r>
          </w:p>
        </w:tc>
        <w:tc>
          <w:tcPr>
            <w:tcW w:w="875"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0D134ED1" w14:textId="77777777" w:rsidR="00515C56" w:rsidRPr="00AD3867" w:rsidRDefault="00515C56">
            <w:pPr>
              <w:jc w:val="right"/>
              <w:rPr>
                <w:rFonts w:cstheme="minorHAnsi"/>
                <w:color w:val="000000"/>
                <w:sz w:val="20"/>
                <w:szCs w:val="20"/>
              </w:rPr>
            </w:pPr>
            <w:r w:rsidRPr="00AD3867">
              <w:rPr>
                <w:rFonts w:cstheme="minorHAnsi"/>
                <w:color w:val="000000"/>
                <w:sz w:val="20"/>
                <w:szCs w:val="20"/>
              </w:rPr>
              <w:t>210,988</w:t>
            </w:r>
          </w:p>
        </w:tc>
        <w:tc>
          <w:tcPr>
            <w:tcW w:w="875"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38C35855" w14:textId="77777777" w:rsidR="00515C56" w:rsidRPr="00AD3867" w:rsidRDefault="00515C56">
            <w:pPr>
              <w:jc w:val="right"/>
              <w:rPr>
                <w:rFonts w:cstheme="minorHAnsi"/>
                <w:color w:val="000000"/>
                <w:sz w:val="20"/>
                <w:szCs w:val="20"/>
              </w:rPr>
            </w:pPr>
            <w:r w:rsidRPr="00AD3867">
              <w:rPr>
                <w:rFonts w:cstheme="minorHAnsi"/>
                <w:color w:val="000000"/>
                <w:sz w:val="20"/>
                <w:szCs w:val="20"/>
              </w:rPr>
              <w:t>100,303</w:t>
            </w:r>
          </w:p>
        </w:tc>
        <w:tc>
          <w:tcPr>
            <w:tcW w:w="773"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39207565" w14:textId="77777777" w:rsidR="00515C56" w:rsidRPr="00AD3867" w:rsidRDefault="00515C56">
            <w:pPr>
              <w:jc w:val="right"/>
              <w:rPr>
                <w:rFonts w:cstheme="minorHAnsi"/>
                <w:color w:val="000000"/>
                <w:sz w:val="20"/>
                <w:szCs w:val="20"/>
              </w:rPr>
            </w:pPr>
            <w:r w:rsidRPr="00AD3867">
              <w:rPr>
                <w:rFonts w:cstheme="minorHAnsi"/>
                <w:color w:val="000000"/>
                <w:sz w:val="20"/>
                <w:szCs w:val="20"/>
              </w:rPr>
              <w:t>12,665</w:t>
            </w:r>
          </w:p>
        </w:tc>
        <w:tc>
          <w:tcPr>
            <w:tcW w:w="749"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2D44663B" w14:textId="77777777" w:rsidR="00515C56" w:rsidRPr="00AD3867" w:rsidRDefault="00515C56">
            <w:pPr>
              <w:jc w:val="right"/>
              <w:rPr>
                <w:rFonts w:cstheme="minorHAnsi"/>
                <w:color w:val="000000"/>
                <w:sz w:val="20"/>
                <w:szCs w:val="20"/>
              </w:rPr>
            </w:pPr>
            <w:r w:rsidRPr="00AD3867">
              <w:rPr>
                <w:rFonts w:cstheme="minorHAnsi"/>
                <w:color w:val="000000"/>
                <w:sz w:val="20"/>
                <w:szCs w:val="20"/>
              </w:rPr>
              <w:t>2,130</w:t>
            </w:r>
          </w:p>
        </w:tc>
        <w:tc>
          <w:tcPr>
            <w:tcW w:w="808"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3412A44D" w14:textId="77777777" w:rsidR="00515C56" w:rsidRPr="00AD3867" w:rsidRDefault="00515C56">
            <w:pPr>
              <w:jc w:val="right"/>
              <w:rPr>
                <w:rFonts w:cstheme="minorHAnsi"/>
                <w:color w:val="000000"/>
                <w:sz w:val="20"/>
                <w:szCs w:val="20"/>
              </w:rPr>
            </w:pPr>
            <w:r w:rsidRPr="00AD3867">
              <w:rPr>
                <w:rFonts w:cstheme="minorHAnsi"/>
                <w:color w:val="000000"/>
                <w:sz w:val="20"/>
                <w:szCs w:val="20"/>
              </w:rPr>
              <w:t>2,130</w:t>
            </w:r>
          </w:p>
        </w:tc>
        <w:tc>
          <w:tcPr>
            <w:tcW w:w="647"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4A35E0A9" w14:textId="77777777" w:rsidR="00515C56" w:rsidRPr="00AD3867" w:rsidRDefault="00515C56">
            <w:pPr>
              <w:jc w:val="right"/>
              <w:rPr>
                <w:rFonts w:cstheme="minorHAnsi"/>
                <w:color w:val="000000"/>
                <w:sz w:val="20"/>
                <w:szCs w:val="20"/>
              </w:rPr>
            </w:pPr>
            <w:r w:rsidRPr="00AD3867">
              <w:rPr>
                <w:rFonts w:cstheme="minorHAnsi"/>
                <w:color w:val="000000"/>
                <w:sz w:val="20"/>
                <w:szCs w:val="20"/>
              </w:rPr>
              <w:t>41%</w:t>
            </w:r>
          </w:p>
        </w:tc>
        <w:tc>
          <w:tcPr>
            <w:tcW w:w="674" w:type="dxa"/>
            <w:gridSpan w:val="2"/>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0FF88033" w14:textId="77777777" w:rsidR="00515C56" w:rsidRPr="00AD3867" w:rsidRDefault="00515C56">
            <w:pPr>
              <w:jc w:val="right"/>
              <w:rPr>
                <w:rFonts w:cstheme="minorHAnsi"/>
                <w:color w:val="000000"/>
                <w:sz w:val="20"/>
                <w:szCs w:val="20"/>
              </w:rPr>
            </w:pPr>
            <w:r w:rsidRPr="00AD3867">
              <w:rPr>
                <w:rFonts w:cstheme="minorHAnsi"/>
                <w:color w:val="000000"/>
                <w:sz w:val="20"/>
                <w:szCs w:val="20"/>
              </w:rPr>
              <w:t>18%</w:t>
            </w:r>
          </w:p>
        </w:tc>
        <w:tc>
          <w:tcPr>
            <w:tcW w:w="641"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4B5ADEF9" w14:textId="77777777" w:rsidR="00515C56" w:rsidRPr="00AD3867" w:rsidRDefault="00515C56">
            <w:pPr>
              <w:jc w:val="right"/>
              <w:rPr>
                <w:rFonts w:cstheme="minorHAnsi"/>
                <w:color w:val="000000"/>
                <w:sz w:val="20"/>
                <w:szCs w:val="20"/>
              </w:rPr>
            </w:pPr>
            <w:r w:rsidRPr="00AD3867">
              <w:rPr>
                <w:rFonts w:cstheme="minorHAnsi"/>
                <w:color w:val="000000"/>
                <w:sz w:val="20"/>
                <w:szCs w:val="20"/>
              </w:rPr>
              <w:t>71%</w:t>
            </w:r>
          </w:p>
        </w:tc>
        <w:tc>
          <w:tcPr>
            <w:tcW w:w="712" w:type="dxa"/>
            <w:gridSpan w:val="3"/>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7828C401" w14:textId="77777777" w:rsidR="00515C56" w:rsidRPr="00AD3867" w:rsidRDefault="00515C56">
            <w:pPr>
              <w:jc w:val="right"/>
              <w:rPr>
                <w:rFonts w:cstheme="minorHAnsi"/>
                <w:color w:val="000000"/>
                <w:sz w:val="20"/>
                <w:szCs w:val="20"/>
              </w:rPr>
            </w:pPr>
            <w:r w:rsidRPr="00AD3867">
              <w:rPr>
                <w:rFonts w:cstheme="minorHAnsi"/>
                <w:color w:val="000000"/>
                <w:sz w:val="20"/>
                <w:szCs w:val="20"/>
              </w:rPr>
              <w:t>72%</w:t>
            </w:r>
          </w:p>
        </w:tc>
        <w:tc>
          <w:tcPr>
            <w:tcW w:w="797" w:type="dxa"/>
            <w:gridSpan w:val="2"/>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4EF45A7D" w14:textId="77777777" w:rsidR="00515C56" w:rsidRPr="00AD3867" w:rsidRDefault="00515C56">
            <w:pPr>
              <w:jc w:val="right"/>
              <w:rPr>
                <w:rFonts w:cstheme="minorHAnsi"/>
                <w:color w:val="000000"/>
                <w:sz w:val="20"/>
                <w:szCs w:val="20"/>
              </w:rPr>
            </w:pPr>
            <w:r w:rsidRPr="00AD3867">
              <w:rPr>
                <w:rFonts w:cstheme="minorHAnsi"/>
                <w:color w:val="000000"/>
                <w:sz w:val="20"/>
                <w:szCs w:val="20"/>
              </w:rPr>
              <w:t>110%</w:t>
            </w:r>
          </w:p>
        </w:tc>
        <w:tc>
          <w:tcPr>
            <w:tcW w:w="808" w:type="dxa"/>
            <w:gridSpan w:val="2"/>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0F405EA1" w14:textId="77777777" w:rsidR="00515C56" w:rsidRPr="00AD3867" w:rsidRDefault="00515C56">
            <w:pPr>
              <w:jc w:val="right"/>
              <w:rPr>
                <w:rFonts w:cstheme="minorHAnsi"/>
                <w:color w:val="000000"/>
                <w:sz w:val="20"/>
                <w:szCs w:val="20"/>
              </w:rPr>
            </w:pPr>
            <w:r w:rsidRPr="00AD3867">
              <w:rPr>
                <w:rFonts w:cstheme="minorHAnsi"/>
                <w:color w:val="000000"/>
                <w:sz w:val="20"/>
                <w:szCs w:val="20"/>
              </w:rPr>
              <w:t>112%</w:t>
            </w:r>
          </w:p>
        </w:tc>
      </w:tr>
      <w:tr w:rsidR="00CA7BE3" w:rsidRPr="00AD3867" w14:paraId="328909CD" w14:textId="77777777" w:rsidTr="00CA7BE3">
        <w:trPr>
          <w:trHeight w:val="334"/>
        </w:trPr>
        <w:tc>
          <w:tcPr>
            <w:tcW w:w="692" w:type="dxa"/>
            <w:tcBorders>
              <w:top w:val="nil"/>
              <w:left w:val="single" w:sz="8" w:space="0" w:color="auto"/>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1277CC04" w14:textId="77777777" w:rsidR="00515C56" w:rsidRPr="00AD3867" w:rsidRDefault="00515C56">
            <w:pPr>
              <w:rPr>
                <w:rFonts w:cstheme="minorHAnsi"/>
                <w:color w:val="000000"/>
                <w:sz w:val="20"/>
                <w:szCs w:val="20"/>
              </w:rPr>
            </w:pPr>
            <w:r w:rsidRPr="00AD3867">
              <w:rPr>
                <w:rFonts w:cstheme="minorHAnsi"/>
                <w:color w:val="000000"/>
                <w:sz w:val="20"/>
                <w:szCs w:val="20"/>
              </w:rPr>
              <w:t>ND*</w:t>
            </w:r>
          </w:p>
        </w:tc>
        <w:tc>
          <w:tcPr>
            <w:tcW w:w="773"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18DA5F1E" w14:textId="77777777" w:rsidR="00515C56" w:rsidRPr="00AD3867" w:rsidRDefault="00515C56">
            <w:pPr>
              <w:jc w:val="right"/>
              <w:rPr>
                <w:rFonts w:cstheme="minorHAnsi"/>
                <w:color w:val="000000"/>
                <w:sz w:val="20"/>
                <w:szCs w:val="20"/>
              </w:rPr>
            </w:pPr>
            <w:r w:rsidRPr="00AD3867">
              <w:rPr>
                <w:rFonts w:cstheme="minorHAnsi"/>
                <w:color w:val="000000"/>
                <w:sz w:val="20"/>
                <w:szCs w:val="20"/>
              </w:rPr>
              <w:t>40,947</w:t>
            </w:r>
          </w:p>
        </w:tc>
        <w:tc>
          <w:tcPr>
            <w:tcW w:w="875"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0C7FB514" w14:textId="77777777" w:rsidR="00515C56" w:rsidRPr="00AD3867" w:rsidRDefault="00515C56">
            <w:pPr>
              <w:jc w:val="right"/>
              <w:rPr>
                <w:rFonts w:cstheme="minorHAnsi"/>
                <w:color w:val="000000"/>
                <w:sz w:val="20"/>
                <w:szCs w:val="20"/>
              </w:rPr>
            </w:pPr>
            <w:r w:rsidRPr="00AD3867">
              <w:rPr>
                <w:rFonts w:cstheme="minorHAnsi"/>
                <w:color w:val="000000"/>
                <w:sz w:val="20"/>
                <w:szCs w:val="20"/>
              </w:rPr>
              <w:t>475,624</w:t>
            </w:r>
          </w:p>
        </w:tc>
        <w:tc>
          <w:tcPr>
            <w:tcW w:w="885"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1A527611" w14:textId="77777777" w:rsidR="00515C56" w:rsidRPr="00AD3867" w:rsidRDefault="00515C56">
            <w:pPr>
              <w:jc w:val="right"/>
              <w:rPr>
                <w:rFonts w:cstheme="minorHAnsi"/>
                <w:color w:val="000000"/>
                <w:sz w:val="20"/>
                <w:szCs w:val="20"/>
              </w:rPr>
            </w:pPr>
            <w:r w:rsidRPr="00AD3867">
              <w:rPr>
                <w:rFonts w:cstheme="minorHAnsi"/>
                <w:color w:val="000000"/>
                <w:sz w:val="20"/>
                <w:szCs w:val="20"/>
              </w:rPr>
              <w:t>30,253</w:t>
            </w:r>
          </w:p>
        </w:tc>
        <w:tc>
          <w:tcPr>
            <w:tcW w:w="672"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68882DAF" w14:textId="77777777" w:rsidR="00515C56" w:rsidRPr="00AD3867" w:rsidRDefault="00515C56">
            <w:pPr>
              <w:jc w:val="right"/>
              <w:rPr>
                <w:rFonts w:cstheme="minorHAnsi"/>
                <w:color w:val="000000"/>
                <w:sz w:val="20"/>
                <w:szCs w:val="20"/>
              </w:rPr>
            </w:pPr>
            <w:r w:rsidRPr="00AD3867">
              <w:rPr>
                <w:rFonts w:cstheme="minorHAnsi"/>
                <w:color w:val="000000"/>
                <w:sz w:val="20"/>
                <w:szCs w:val="20"/>
              </w:rPr>
              <w:t>7,660</w:t>
            </w:r>
          </w:p>
        </w:tc>
        <w:tc>
          <w:tcPr>
            <w:tcW w:w="749"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4B4D85AA" w14:textId="77777777" w:rsidR="00515C56" w:rsidRPr="00AD3867" w:rsidRDefault="00515C56">
            <w:pPr>
              <w:jc w:val="right"/>
              <w:rPr>
                <w:rFonts w:cstheme="minorHAnsi"/>
                <w:color w:val="000000"/>
                <w:sz w:val="20"/>
                <w:szCs w:val="20"/>
              </w:rPr>
            </w:pPr>
            <w:r w:rsidRPr="00AD3867">
              <w:rPr>
                <w:rFonts w:cstheme="minorHAnsi"/>
                <w:color w:val="000000"/>
                <w:sz w:val="20"/>
                <w:szCs w:val="20"/>
              </w:rPr>
              <w:t>2,234</w:t>
            </w:r>
          </w:p>
        </w:tc>
        <w:tc>
          <w:tcPr>
            <w:tcW w:w="808"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780DA498" w14:textId="77777777" w:rsidR="00515C56" w:rsidRPr="00AD3867" w:rsidRDefault="00515C56">
            <w:pPr>
              <w:jc w:val="right"/>
              <w:rPr>
                <w:rFonts w:cstheme="minorHAnsi"/>
                <w:color w:val="000000"/>
                <w:sz w:val="20"/>
                <w:szCs w:val="20"/>
              </w:rPr>
            </w:pPr>
            <w:r w:rsidRPr="00AD3867">
              <w:rPr>
                <w:rFonts w:cstheme="minorHAnsi"/>
                <w:color w:val="000000"/>
                <w:sz w:val="20"/>
                <w:szCs w:val="20"/>
              </w:rPr>
              <w:t>2,100</w:t>
            </w:r>
          </w:p>
        </w:tc>
        <w:tc>
          <w:tcPr>
            <w:tcW w:w="829" w:type="dxa"/>
            <w:gridSpan w:val="2"/>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3E705341" w14:textId="77777777" w:rsidR="00515C56" w:rsidRPr="00AD3867" w:rsidRDefault="00515C56">
            <w:pPr>
              <w:jc w:val="right"/>
              <w:rPr>
                <w:rFonts w:cstheme="minorHAnsi"/>
                <w:color w:val="000000"/>
                <w:sz w:val="20"/>
                <w:szCs w:val="20"/>
              </w:rPr>
            </w:pPr>
            <w:r w:rsidRPr="00AD3867">
              <w:rPr>
                <w:rFonts w:cstheme="minorHAnsi"/>
                <w:color w:val="000000"/>
                <w:sz w:val="20"/>
                <w:szCs w:val="20"/>
              </w:rPr>
              <w:t>39,365</w:t>
            </w:r>
          </w:p>
        </w:tc>
        <w:tc>
          <w:tcPr>
            <w:tcW w:w="875"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7636BE26" w14:textId="77777777" w:rsidR="00515C56" w:rsidRPr="00AD3867" w:rsidRDefault="00515C56">
            <w:pPr>
              <w:jc w:val="right"/>
              <w:rPr>
                <w:rFonts w:cstheme="minorHAnsi"/>
                <w:color w:val="000000"/>
                <w:sz w:val="20"/>
                <w:szCs w:val="20"/>
              </w:rPr>
            </w:pPr>
            <w:r w:rsidRPr="00AD3867">
              <w:rPr>
                <w:rFonts w:cstheme="minorHAnsi"/>
                <w:color w:val="000000"/>
                <w:sz w:val="20"/>
                <w:szCs w:val="20"/>
              </w:rPr>
              <w:t>478,167</w:t>
            </w:r>
          </w:p>
        </w:tc>
        <w:tc>
          <w:tcPr>
            <w:tcW w:w="875"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2D29BA55" w14:textId="77777777" w:rsidR="00515C56" w:rsidRPr="00AD3867" w:rsidRDefault="00515C56">
            <w:pPr>
              <w:jc w:val="right"/>
              <w:rPr>
                <w:rFonts w:cstheme="minorHAnsi"/>
                <w:color w:val="000000"/>
                <w:sz w:val="20"/>
                <w:szCs w:val="20"/>
              </w:rPr>
            </w:pPr>
            <w:r w:rsidRPr="00AD3867">
              <w:rPr>
                <w:rFonts w:cstheme="minorHAnsi"/>
                <w:color w:val="000000"/>
                <w:sz w:val="20"/>
                <w:szCs w:val="20"/>
              </w:rPr>
              <w:t>32,000</w:t>
            </w:r>
          </w:p>
        </w:tc>
        <w:tc>
          <w:tcPr>
            <w:tcW w:w="773"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34DE128A" w14:textId="77777777" w:rsidR="00515C56" w:rsidRPr="00AD3867" w:rsidRDefault="00515C56">
            <w:pPr>
              <w:jc w:val="right"/>
              <w:rPr>
                <w:rFonts w:cstheme="minorHAnsi"/>
                <w:color w:val="000000"/>
                <w:sz w:val="20"/>
                <w:szCs w:val="20"/>
              </w:rPr>
            </w:pPr>
            <w:r w:rsidRPr="00AD3867">
              <w:rPr>
                <w:rFonts w:cstheme="minorHAnsi"/>
                <w:color w:val="000000"/>
                <w:sz w:val="20"/>
                <w:szCs w:val="20"/>
              </w:rPr>
              <w:t>3,847</w:t>
            </w:r>
          </w:p>
        </w:tc>
        <w:tc>
          <w:tcPr>
            <w:tcW w:w="749"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467A12CC" w14:textId="77777777" w:rsidR="00515C56" w:rsidRPr="00AD3867" w:rsidRDefault="00515C56">
            <w:pPr>
              <w:jc w:val="right"/>
              <w:rPr>
                <w:rFonts w:cstheme="minorHAnsi"/>
                <w:color w:val="000000"/>
                <w:sz w:val="20"/>
                <w:szCs w:val="20"/>
              </w:rPr>
            </w:pPr>
            <w:r w:rsidRPr="00AD3867">
              <w:rPr>
                <w:rFonts w:cstheme="minorHAnsi"/>
                <w:color w:val="000000"/>
                <w:sz w:val="20"/>
                <w:szCs w:val="20"/>
              </w:rPr>
              <w:t>1,325</w:t>
            </w:r>
          </w:p>
        </w:tc>
        <w:tc>
          <w:tcPr>
            <w:tcW w:w="808"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542FEDB5" w14:textId="77777777" w:rsidR="00515C56" w:rsidRPr="00AD3867" w:rsidRDefault="00515C56">
            <w:pPr>
              <w:jc w:val="right"/>
              <w:rPr>
                <w:rFonts w:cstheme="minorHAnsi"/>
                <w:color w:val="000000"/>
                <w:sz w:val="20"/>
                <w:szCs w:val="20"/>
              </w:rPr>
            </w:pPr>
            <w:r w:rsidRPr="00AD3867">
              <w:rPr>
                <w:rFonts w:cstheme="minorHAnsi"/>
                <w:color w:val="000000"/>
                <w:sz w:val="20"/>
                <w:szCs w:val="20"/>
              </w:rPr>
              <w:t>1,325</w:t>
            </w:r>
          </w:p>
        </w:tc>
        <w:tc>
          <w:tcPr>
            <w:tcW w:w="647"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4DBF0B2D" w14:textId="77777777" w:rsidR="00515C56" w:rsidRPr="00AD3867" w:rsidRDefault="00515C56">
            <w:pPr>
              <w:jc w:val="right"/>
              <w:rPr>
                <w:rFonts w:cstheme="minorHAnsi"/>
                <w:color w:val="000000"/>
                <w:sz w:val="20"/>
                <w:szCs w:val="20"/>
              </w:rPr>
            </w:pPr>
            <w:r w:rsidRPr="00AD3867">
              <w:rPr>
                <w:rFonts w:cstheme="minorHAnsi"/>
                <w:color w:val="000000"/>
                <w:sz w:val="20"/>
                <w:szCs w:val="20"/>
              </w:rPr>
              <w:t>-4%</w:t>
            </w:r>
          </w:p>
        </w:tc>
        <w:tc>
          <w:tcPr>
            <w:tcW w:w="674" w:type="dxa"/>
            <w:gridSpan w:val="2"/>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351C8FB2" w14:textId="77777777" w:rsidR="00515C56" w:rsidRPr="00AD3867" w:rsidRDefault="00515C56">
            <w:pPr>
              <w:jc w:val="right"/>
              <w:rPr>
                <w:rFonts w:cstheme="minorHAnsi"/>
                <w:color w:val="000000"/>
                <w:sz w:val="20"/>
                <w:szCs w:val="20"/>
              </w:rPr>
            </w:pPr>
            <w:r w:rsidRPr="00AD3867">
              <w:rPr>
                <w:rFonts w:cstheme="minorHAnsi"/>
                <w:color w:val="000000"/>
                <w:sz w:val="20"/>
                <w:szCs w:val="20"/>
              </w:rPr>
              <w:t>1%</w:t>
            </w:r>
          </w:p>
        </w:tc>
        <w:tc>
          <w:tcPr>
            <w:tcW w:w="641"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23C16B0B" w14:textId="77777777" w:rsidR="00515C56" w:rsidRPr="00AD3867" w:rsidRDefault="00515C56">
            <w:pPr>
              <w:jc w:val="right"/>
              <w:rPr>
                <w:rFonts w:cstheme="minorHAnsi"/>
                <w:color w:val="000000"/>
                <w:sz w:val="20"/>
                <w:szCs w:val="20"/>
              </w:rPr>
            </w:pPr>
            <w:r w:rsidRPr="00AD3867">
              <w:rPr>
                <w:rFonts w:cstheme="minorHAnsi"/>
                <w:color w:val="000000"/>
                <w:sz w:val="20"/>
                <w:szCs w:val="20"/>
              </w:rPr>
              <w:t>6%</w:t>
            </w:r>
          </w:p>
        </w:tc>
        <w:tc>
          <w:tcPr>
            <w:tcW w:w="712" w:type="dxa"/>
            <w:gridSpan w:val="3"/>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4E34547F" w14:textId="77777777" w:rsidR="00515C56" w:rsidRPr="00AD3867" w:rsidRDefault="00515C56">
            <w:pPr>
              <w:jc w:val="right"/>
              <w:rPr>
                <w:rFonts w:cstheme="minorHAnsi"/>
                <w:color w:val="000000"/>
                <w:sz w:val="20"/>
                <w:szCs w:val="20"/>
              </w:rPr>
            </w:pPr>
            <w:r w:rsidRPr="00AD3867">
              <w:rPr>
                <w:rFonts w:cstheme="minorHAnsi"/>
                <w:color w:val="000000"/>
                <w:sz w:val="20"/>
                <w:szCs w:val="20"/>
              </w:rPr>
              <w:t>-50%</w:t>
            </w:r>
          </w:p>
        </w:tc>
        <w:tc>
          <w:tcPr>
            <w:tcW w:w="797" w:type="dxa"/>
            <w:gridSpan w:val="2"/>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489A5B43" w14:textId="77777777" w:rsidR="00515C56" w:rsidRPr="00AD3867" w:rsidRDefault="00515C56">
            <w:pPr>
              <w:jc w:val="right"/>
              <w:rPr>
                <w:rFonts w:cstheme="minorHAnsi"/>
                <w:color w:val="000000"/>
                <w:sz w:val="20"/>
                <w:szCs w:val="20"/>
              </w:rPr>
            </w:pPr>
            <w:r w:rsidRPr="00AD3867">
              <w:rPr>
                <w:rFonts w:cstheme="minorHAnsi"/>
                <w:color w:val="000000"/>
                <w:sz w:val="20"/>
                <w:szCs w:val="20"/>
              </w:rPr>
              <w:t>-41%</w:t>
            </w:r>
          </w:p>
        </w:tc>
        <w:tc>
          <w:tcPr>
            <w:tcW w:w="808" w:type="dxa"/>
            <w:gridSpan w:val="2"/>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64ABEBFC" w14:textId="77777777" w:rsidR="00515C56" w:rsidRPr="00AD3867" w:rsidRDefault="00515C56">
            <w:pPr>
              <w:jc w:val="right"/>
              <w:rPr>
                <w:rFonts w:cstheme="minorHAnsi"/>
                <w:color w:val="000000"/>
                <w:sz w:val="20"/>
                <w:szCs w:val="20"/>
              </w:rPr>
            </w:pPr>
            <w:r w:rsidRPr="00AD3867">
              <w:rPr>
                <w:rFonts w:cstheme="minorHAnsi"/>
                <w:color w:val="000000"/>
                <w:sz w:val="20"/>
                <w:szCs w:val="20"/>
              </w:rPr>
              <w:t>-37%</w:t>
            </w:r>
          </w:p>
        </w:tc>
      </w:tr>
      <w:tr w:rsidR="00CA7BE3" w:rsidRPr="00AD3867" w14:paraId="6F4F68DF" w14:textId="77777777" w:rsidTr="00CA7BE3">
        <w:trPr>
          <w:trHeight w:val="334"/>
        </w:trPr>
        <w:tc>
          <w:tcPr>
            <w:tcW w:w="6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E49BC7D" w14:textId="77777777" w:rsidR="00515C56" w:rsidRPr="00AD3867" w:rsidRDefault="00515C56">
            <w:pPr>
              <w:rPr>
                <w:rFonts w:cstheme="minorHAnsi"/>
                <w:color w:val="000000"/>
                <w:sz w:val="20"/>
                <w:szCs w:val="20"/>
              </w:rPr>
            </w:pPr>
            <w:r w:rsidRPr="00AD3867">
              <w:rPr>
                <w:rFonts w:cstheme="minorHAnsi"/>
                <w:color w:val="000000"/>
                <w:sz w:val="20"/>
                <w:szCs w:val="20"/>
              </w:rPr>
              <w:t>SD</w:t>
            </w:r>
          </w:p>
        </w:tc>
        <w:tc>
          <w:tcPr>
            <w:tcW w:w="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D0D808" w14:textId="77777777" w:rsidR="00515C56" w:rsidRPr="00AD3867" w:rsidRDefault="00515C56">
            <w:pPr>
              <w:jc w:val="right"/>
              <w:rPr>
                <w:rFonts w:cstheme="minorHAnsi"/>
                <w:color w:val="000000"/>
                <w:sz w:val="20"/>
                <w:szCs w:val="20"/>
              </w:rPr>
            </w:pPr>
            <w:r w:rsidRPr="00AD3867">
              <w:rPr>
                <w:rFonts w:cstheme="minorHAnsi"/>
                <w:color w:val="000000"/>
                <w:sz w:val="20"/>
                <w:szCs w:val="20"/>
              </w:rPr>
              <w:t>652</w:t>
            </w:r>
          </w:p>
        </w:tc>
        <w:tc>
          <w:tcPr>
            <w:tcW w:w="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FC95D4" w14:textId="77777777" w:rsidR="00515C56" w:rsidRPr="00AD3867" w:rsidRDefault="00515C56">
            <w:pPr>
              <w:jc w:val="right"/>
              <w:rPr>
                <w:rFonts w:cstheme="minorHAnsi"/>
                <w:color w:val="000000"/>
                <w:sz w:val="20"/>
                <w:szCs w:val="20"/>
              </w:rPr>
            </w:pPr>
            <w:r w:rsidRPr="00AD3867">
              <w:rPr>
                <w:rFonts w:cstheme="minorHAnsi"/>
                <w:color w:val="000000"/>
                <w:sz w:val="20"/>
                <w:szCs w:val="20"/>
              </w:rPr>
              <w:t>2,914</w:t>
            </w:r>
          </w:p>
        </w:tc>
        <w:tc>
          <w:tcPr>
            <w:tcW w:w="8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0CC7A6" w14:textId="77777777" w:rsidR="00515C56" w:rsidRPr="00AD3867" w:rsidRDefault="00515C56">
            <w:pPr>
              <w:jc w:val="right"/>
              <w:rPr>
                <w:rFonts w:cstheme="minorHAnsi"/>
                <w:color w:val="000000"/>
                <w:sz w:val="20"/>
                <w:szCs w:val="20"/>
              </w:rPr>
            </w:pPr>
            <w:r w:rsidRPr="00AD3867">
              <w:rPr>
                <w:rFonts w:cstheme="minorHAnsi"/>
                <w:color w:val="000000"/>
                <w:sz w:val="20"/>
                <w:szCs w:val="20"/>
              </w:rPr>
              <w:t>362</w:t>
            </w:r>
          </w:p>
        </w:tc>
        <w:tc>
          <w:tcPr>
            <w:tcW w:w="6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53F8C9" w14:textId="77777777" w:rsidR="00515C56" w:rsidRPr="00AD3867" w:rsidRDefault="00515C56">
            <w:pPr>
              <w:jc w:val="right"/>
              <w:rPr>
                <w:rFonts w:cstheme="minorHAnsi"/>
                <w:color w:val="000000"/>
                <w:sz w:val="20"/>
                <w:szCs w:val="20"/>
              </w:rPr>
            </w:pPr>
            <w:r w:rsidRPr="00AD3867">
              <w:rPr>
                <w:rFonts w:cstheme="minorHAnsi"/>
                <w:color w:val="000000"/>
                <w:sz w:val="20"/>
                <w:szCs w:val="20"/>
              </w:rPr>
              <w:t>13</w:t>
            </w:r>
          </w:p>
        </w:tc>
        <w:tc>
          <w:tcPr>
            <w:tcW w:w="7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7BE373" w14:textId="77777777" w:rsidR="00515C56" w:rsidRPr="00AD3867" w:rsidRDefault="00515C56">
            <w:pPr>
              <w:jc w:val="right"/>
              <w:rPr>
                <w:rFonts w:cstheme="minorHAnsi"/>
                <w:color w:val="000000"/>
                <w:sz w:val="20"/>
                <w:szCs w:val="20"/>
              </w:rPr>
            </w:pPr>
            <w:r w:rsidRPr="00AD3867">
              <w:rPr>
                <w:rFonts w:cstheme="minorHAnsi"/>
                <w:color w:val="000000"/>
                <w:sz w:val="20"/>
                <w:szCs w:val="20"/>
              </w:rPr>
              <w:t>75</w:t>
            </w:r>
          </w:p>
        </w:tc>
        <w:tc>
          <w:tcPr>
            <w:tcW w:w="8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D1A7F7" w14:textId="77777777" w:rsidR="00515C56" w:rsidRPr="00AD3867" w:rsidRDefault="00515C56">
            <w:pPr>
              <w:jc w:val="right"/>
              <w:rPr>
                <w:rFonts w:cstheme="minorHAnsi"/>
                <w:color w:val="000000"/>
                <w:sz w:val="20"/>
                <w:szCs w:val="20"/>
              </w:rPr>
            </w:pPr>
            <w:r w:rsidRPr="00AD3867">
              <w:rPr>
                <w:rFonts w:cstheme="minorHAnsi"/>
                <w:color w:val="000000"/>
                <w:sz w:val="20"/>
                <w:szCs w:val="20"/>
              </w:rPr>
              <w:t>75</w:t>
            </w:r>
          </w:p>
        </w:tc>
        <w:tc>
          <w:tcPr>
            <w:tcW w:w="829"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258BDF" w14:textId="77777777" w:rsidR="00515C56" w:rsidRPr="00AD3867" w:rsidRDefault="00515C56">
            <w:pPr>
              <w:jc w:val="right"/>
              <w:rPr>
                <w:rFonts w:cstheme="minorHAnsi"/>
                <w:color w:val="000000"/>
                <w:sz w:val="20"/>
                <w:szCs w:val="20"/>
              </w:rPr>
            </w:pPr>
            <w:r w:rsidRPr="00AD3867">
              <w:rPr>
                <w:rFonts w:cstheme="minorHAnsi"/>
                <w:color w:val="000000"/>
                <w:sz w:val="20"/>
                <w:szCs w:val="20"/>
              </w:rPr>
              <w:t>693</w:t>
            </w:r>
          </w:p>
        </w:tc>
        <w:tc>
          <w:tcPr>
            <w:tcW w:w="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739505" w14:textId="77777777" w:rsidR="00515C56" w:rsidRPr="00AD3867" w:rsidRDefault="00515C56">
            <w:pPr>
              <w:jc w:val="right"/>
              <w:rPr>
                <w:rFonts w:cstheme="minorHAnsi"/>
                <w:color w:val="000000"/>
                <w:sz w:val="20"/>
                <w:szCs w:val="20"/>
              </w:rPr>
            </w:pPr>
            <w:r w:rsidRPr="00AD3867">
              <w:rPr>
                <w:rFonts w:cstheme="minorHAnsi"/>
                <w:color w:val="000000"/>
                <w:sz w:val="20"/>
                <w:szCs w:val="20"/>
              </w:rPr>
              <w:t>3,090</w:t>
            </w:r>
          </w:p>
        </w:tc>
        <w:tc>
          <w:tcPr>
            <w:tcW w:w="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28C4B3" w14:textId="77777777" w:rsidR="00515C56" w:rsidRPr="00AD3867" w:rsidRDefault="00515C56">
            <w:pPr>
              <w:jc w:val="right"/>
              <w:rPr>
                <w:rFonts w:cstheme="minorHAnsi"/>
                <w:color w:val="000000"/>
                <w:sz w:val="20"/>
                <w:szCs w:val="20"/>
              </w:rPr>
            </w:pPr>
            <w:r w:rsidRPr="00AD3867">
              <w:rPr>
                <w:rFonts w:cstheme="minorHAnsi"/>
                <w:color w:val="000000"/>
                <w:sz w:val="20"/>
                <w:szCs w:val="20"/>
              </w:rPr>
              <w:t>496</w:t>
            </w:r>
          </w:p>
        </w:tc>
        <w:tc>
          <w:tcPr>
            <w:tcW w:w="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0EBF60" w14:textId="77777777" w:rsidR="00515C56" w:rsidRPr="00AD3867" w:rsidRDefault="00515C56">
            <w:pPr>
              <w:jc w:val="right"/>
              <w:rPr>
                <w:rFonts w:cstheme="minorHAnsi"/>
                <w:color w:val="000000"/>
                <w:sz w:val="20"/>
                <w:szCs w:val="20"/>
              </w:rPr>
            </w:pPr>
            <w:r w:rsidRPr="00AD3867">
              <w:rPr>
                <w:rFonts w:cstheme="minorHAnsi"/>
                <w:color w:val="000000"/>
                <w:sz w:val="20"/>
                <w:szCs w:val="20"/>
              </w:rPr>
              <w:t>13</w:t>
            </w:r>
          </w:p>
        </w:tc>
        <w:tc>
          <w:tcPr>
            <w:tcW w:w="7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D09020" w14:textId="77777777" w:rsidR="00515C56" w:rsidRPr="00AD3867" w:rsidRDefault="00515C56">
            <w:pPr>
              <w:jc w:val="right"/>
              <w:rPr>
                <w:rFonts w:cstheme="minorHAnsi"/>
                <w:color w:val="000000"/>
                <w:sz w:val="20"/>
                <w:szCs w:val="20"/>
              </w:rPr>
            </w:pPr>
            <w:r w:rsidRPr="00AD3867">
              <w:rPr>
                <w:rFonts w:cstheme="minorHAnsi"/>
                <w:color w:val="000000"/>
                <w:sz w:val="20"/>
                <w:szCs w:val="20"/>
              </w:rPr>
              <w:t>77</w:t>
            </w:r>
          </w:p>
        </w:tc>
        <w:tc>
          <w:tcPr>
            <w:tcW w:w="8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361C0D" w14:textId="77777777" w:rsidR="00515C56" w:rsidRPr="00AD3867" w:rsidRDefault="00515C56">
            <w:pPr>
              <w:jc w:val="right"/>
              <w:rPr>
                <w:rFonts w:cstheme="minorHAnsi"/>
                <w:color w:val="000000"/>
                <w:sz w:val="20"/>
                <w:szCs w:val="20"/>
              </w:rPr>
            </w:pPr>
            <w:r w:rsidRPr="00AD3867">
              <w:rPr>
                <w:rFonts w:cstheme="minorHAnsi"/>
                <w:color w:val="000000"/>
                <w:sz w:val="20"/>
                <w:szCs w:val="20"/>
              </w:rPr>
              <w:t>77</w:t>
            </w:r>
          </w:p>
        </w:tc>
        <w:tc>
          <w:tcPr>
            <w:tcW w:w="6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DF0573" w14:textId="77777777" w:rsidR="00515C56" w:rsidRPr="00AD3867" w:rsidRDefault="00515C56">
            <w:pPr>
              <w:jc w:val="right"/>
              <w:rPr>
                <w:rFonts w:cstheme="minorHAnsi"/>
                <w:color w:val="000000"/>
                <w:sz w:val="20"/>
                <w:szCs w:val="20"/>
              </w:rPr>
            </w:pPr>
            <w:r w:rsidRPr="00AD3867">
              <w:rPr>
                <w:rFonts w:cstheme="minorHAnsi"/>
                <w:color w:val="000000"/>
                <w:sz w:val="20"/>
                <w:szCs w:val="20"/>
              </w:rPr>
              <w:t>6%</w:t>
            </w:r>
          </w:p>
        </w:tc>
        <w:tc>
          <w:tcPr>
            <w:tcW w:w="67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E0E7BD" w14:textId="77777777" w:rsidR="00515C56" w:rsidRPr="00AD3867" w:rsidRDefault="00515C56">
            <w:pPr>
              <w:jc w:val="right"/>
              <w:rPr>
                <w:rFonts w:cstheme="minorHAnsi"/>
                <w:color w:val="000000"/>
                <w:sz w:val="20"/>
                <w:szCs w:val="20"/>
              </w:rPr>
            </w:pPr>
            <w:r w:rsidRPr="00AD3867">
              <w:rPr>
                <w:rFonts w:cstheme="minorHAnsi"/>
                <w:color w:val="000000"/>
                <w:sz w:val="20"/>
                <w:szCs w:val="20"/>
              </w:rPr>
              <w:t>6%</w:t>
            </w:r>
          </w:p>
        </w:tc>
        <w:tc>
          <w:tcPr>
            <w:tcW w:w="6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272B22" w14:textId="77777777" w:rsidR="00515C56" w:rsidRPr="00AD3867" w:rsidRDefault="00515C56">
            <w:pPr>
              <w:jc w:val="right"/>
              <w:rPr>
                <w:rFonts w:cstheme="minorHAnsi"/>
                <w:color w:val="000000"/>
                <w:sz w:val="20"/>
                <w:szCs w:val="20"/>
              </w:rPr>
            </w:pPr>
            <w:r w:rsidRPr="00AD3867">
              <w:rPr>
                <w:rFonts w:cstheme="minorHAnsi"/>
                <w:color w:val="000000"/>
                <w:sz w:val="20"/>
                <w:szCs w:val="20"/>
              </w:rPr>
              <w:t>37%</w:t>
            </w:r>
          </w:p>
        </w:tc>
        <w:tc>
          <w:tcPr>
            <w:tcW w:w="712"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AE794A" w14:textId="77777777" w:rsidR="00515C56" w:rsidRPr="00AD3867" w:rsidRDefault="00515C56">
            <w:pPr>
              <w:jc w:val="right"/>
              <w:rPr>
                <w:rFonts w:cstheme="minorHAnsi"/>
                <w:color w:val="000000"/>
                <w:sz w:val="20"/>
                <w:szCs w:val="20"/>
              </w:rPr>
            </w:pPr>
            <w:r w:rsidRPr="00AD3867">
              <w:rPr>
                <w:rFonts w:cstheme="minorHAnsi"/>
                <w:color w:val="000000"/>
                <w:sz w:val="20"/>
                <w:szCs w:val="20"/>
              </w:rPr>
              <w:t>0%</w:t>
            </w:r>
          </w:p>
        </w:tc>
        <w:tc>
          <w:tcPr>
            <w:tcW w:w="797"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6FDFBA" w14:textId="77777777" w:rsidR="00515C56" w:rsidRPr="00AD3867" w:rsidRDefault="00515C56">
            <w:pPr>
              <w:jc w:val="right"/>
              <w:rPr>
                <w:rFonts w:cstheme="minorHAnsi"/>
                <w:color w:val="000000"/>
                <w:sz w:val="20"/>
                <w:szCs w:val="20"/>
              </w:rPr>
            </w:pPr>
            <w:r w:rsidRPr="00AD3867">
              <w:rPr>
                <w:rFonts w:cstheme="minorHAnsi"/>
                <w:color w:val="000000"/>
                <w:sz w:val="20"/>
                <w:szCs w:val="20"/>
              </w:rPr>
              <w:t>2%</w:t>
            </w:r>
          </w:p>
        </w:tc>
        <w:tc>
          <w:tcPr>
            <w:tcW w:w="80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E6C639" w14:textId="77777777" w:rsidR="00515C56" w:rsidRPr="00AD3867" w:rsidRDefault="00515C56">
            <w:pPr>
              <w:jc w:val="right"/>
              <w:rPr>
                <w:rFonts w:cstheme="minorHAnsi"/>
                <w:color w:val="000000"/>
                <w:sz w:val="20"/>
                <w:szCs w:val="20"/>
              </w:rPr>
            </w:pPr>
            <w:r w:rsidRPr="00AD3867">
              <w:rPr>
                <w:rFonts w:cstheme="minorHAnsi"/>
                <w:color w:val="000000"/>
                <w:sz w:val="20"/>
                <w:szCs w:val="20"/>
              </w:rPr>
              <w:t>2%</w:t>
            </w:r>
          </w:p>
        </w:tc>
      </w:tr>
      <w:tr w:rsidR="00CA7BE3" w:rsidRPr="00AD3867" w14:paraId="2C11D8FC" w14:textId="77777777" w:rsidTr="00CA7BE3">
        <w:trPr>
          <w:trHeight w:val="334"/>
        </w:trPr>
        <w:tc>
          <w:tcPr>
            <w:tcW w:w="6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4772FFE" w14:textId="77777777" w:rsidR="00515C56" w:rsidRPr="00AD3867" w:rsidRDefault="00515C56">
            <w:pPr>
              <w:rPr>
                <w:rFonts w:cstheme="minorHAnsi"/>
                <w:color w:val="000000"/>
                <w:sz w:val="20"/>
                <w:szCs w:val="20"/>
              </w:rPr>
            </w:pPr>
            <w:r w:rsidRPr="00AD3867">
              <w:rPr>
                <w:rFonts w:cstheme="minorHAnsi"/>
                <w:color w:val="000000"/>
                <w:sz w:val="20"/>
                <w:szCs w:val="20"/>
              </w:rPr>
              <w:t>UT</w:t>
            </w:r>
          </w:p>
        </w:tc>
        <w:tc>
          <w:tcPr>
            <w:tcW w:w="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78FC36" w14:textId="77777777" w:rsidR="00515C56" w:rsidRPr="00AD3867" w:rsidRDefault="00515C56">
            <w:pPr>
              <w:jc w:val="right"/>
              <w:rPr>
                <w:rFonts w:cstheme="minorHAnsi"/>
                <w:color w:val="000000"/>
                <w:sz w:val="20"/>
                <w:szCs w:val="20"/>
              </w:rPr>
            </w:pPr>
            <w:r w:rsidRPr="00AD3867">
              <w:rPr>
                <w:rFonts w:cstheme="minorHAnsi"/>
                <w:color w:val="000000"/>
                <w:sz w:val="20"/>
                <w:szCs w:val="20"/>
              </w:rPr>
              <w:t>17,598</w:t>
            </w:r>
          </w:p>
        </w:tc>
        <w:tc>
          <w:tcPr>
            <w:tcW w:w="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7094C2" w14:textId="77777777" w:rsidR="00515C56" w:rsidRPr="00AD3867" w:rsidRDefault="00515C56">
            <w:pPr>
              <w:jc w:val="right"/>
              <w:rPr>
                <w:rFonts w:cstheme="minorHAnsi"/>
                <w:color w:val="000000"/>
                <w:sz w:val="20"/>
                <w:szCs w:val="20"/>
              </w:rPr>
            </w:pPr>
            <w:r w:rsidRPr="00AD3867">
              <w:rPr>
                <w:rFonts w:cstheme="minorHAnsi"/>
                <w:color w:val="000000"/>
                <w:sz w:val="20"/>
                <w:szCs w:val="20"/>
              </w:rPr>
              <w:t>112,280</w:t>
            </w:r>
          </w:p>
        </w:tc>
        <w:tc>
          <w:tcPr>
            <w:tcW w:w="8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07BB1B" w14:textId="77777777" w:rsidR="00515C56" w:rsidRPr="00AD3867" w:rsidRDefault="00515C56">
            <w:pPr>
              <w:jc w:val="right"/>
              <w:rPr>
                <w:rFonts w:cstheme="minorHAnsi"/>
                <w:color w:val="000000"/>
                <w:sz w:val="20"/>
                <w:szCs w:val="20"/>
              </w:rPr>
            </w:pPr>
            <w:r w:rsidRPr="00AD3867">
              <w:rPr>
                <w:rFonts w:cstheme="minorHAnsi"/>
                <w:color w:val="000000"/>
                <w:sz w:val="20"/>
                <w:szCs w:val="20"/>
              </w:rPr>
              <w:t>14,245</w:t>
            </w:r>
          </w:p>
        </w:tc>
        <w:tc>
          <w:tcPr>
            <w:tcW w:w="6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A1D28D" w14:textId="77777777" w:rsidR="00515C56" w:rsidRPr="00AD3867" w:rsidRDefault="00515C56">
            <w:pPr>
              <w:jc w:val="right"/>
              <w:rPr>
                <w:rFonts w:cstheme="minorHAnsi"/>
                <w:color w:val="000000"/>
                <w:sz w:val="20"/>
                <w:szCs w:val="20"/>
              </w:rPr>
            </w:pPr>
            <w:r w:rsidRPr="00AD3867">
              <w:rPr>
                <w:rFonts w:cstheme="minorHAnsi"/>
                <w:color w:val="000000"/>
                <w:sz w:val="20"/>
                <w:szCs w:val="20"/>
              </w:rPr>
              <w:t>595</w:t>
            </w:r>
          </w:p>
        </w:tc>
        <w:tc>
          <w:tcPr>
            <w:tcW w:w="7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17399A" w14:textId="77777777" w:rsidR="00515C56" w:rsidRPr="00AD3867" w:rsidRDefault="00515C56">
            <w:pPr>
              <w:jc w:val="right"/>
              <w:rPr>
                <w:rFonts w:cstheme="minorHAnsi"/>
                <w:color w:val="000000"/>
                <w:sz w:val="20"/>
                <w:szCs w:val="20"/>
              </w:rPr>
            </w:pPr>
            <w:r w:rsidRPr="00AD3867">
              <w:rPr>
                <w:rFonts w:cstheme="minorHAnsi"/>
                <w:color w:val="000000"/>
                <w:sz w:val="20"/>
                <w:szCs w:val="20"/>
              </w:rPr>
              <w:t>780</w:t>
            </w:r>
          </w:p>
        </w:tc>
        <w:tc>
          <w:tcPr>
            <w:tcW w:w="8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097C45" w14:textId="77777777" w:rsidR="00515C56" w:rsidRPr="00AD3867" w:rsidRDefault="00515C56">
            <w:pPr>
              <w:jc w:val="right"/>
              <w:rPr>
                <w:rFonts w:cstheme="minorHAnsi"/>
                <w:color w:val="000000"/>
                <w:sz w:val="20"/>
                <w:szCs w:val="20"/>
              </w:rPr>
            </w:pPr>
            <w:r w:rsidRPr="00AD3867">
              <w:rPr>
                <w:rFonts w:cstheme="minorHAnsi"/>
                <w:color w:val="000000"/>
                <w:sz w:val="20"/>
                <w:szCs w:val="20"/>
              </w:rPr>
              <w:t>759</w:t>
            </w:r>
          </w:p>
        </w:tc>
        <w:tc>
          <w:tcPr>
            <w:tcW w:w="829"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F14D2A" w14:textId="77777777" w:rsidR="00515C56" w:rsidRPr="00AD3867" w:rsidRDefault="00515C56">
            <w:pPr>
              <w:jc w:val="right"/>
              <w:rPr>
                <w:rFonts w:cstheme="minorHAnsi"/>
                <w:color w:val="000000"/>
                <w:sz w:val="20"/>
                <w:szCs w:val="20"/>
              </w:rPr>
            </w:pPr>
            <w:r w:rsidRPr="00AD3867">
              <w:rPr>
                <w:rFonts w:cstheme="minorHAnsi"/>
                <w:color w:val="000000"/>
                <w:sz w:val="20"/>
                <w:szCs w:val="20"/>
              </w:rPr>
              <w:t>16,379</w:t>
            </w:r>
          </w:p>
        </w:tc>
        <w:tc>
          <w:tcPr>
            <w:tcW w:w="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2A25E4" w14:textId="77777777" w:rsidR="00515C56" w:rsidRPr="00AD3867" w:rsidRDefault="00515C56">
            <w:pPr>
              <w:jc w:val="right"/>
              <w:rPr>
                <w:rFonts w:cstheme="minorHAnsi"/>
                <w:color w:val="000000"/>
                <w:sz w:val="20"/>
                <w:szCs w:val="20"/>
              </w:rPr>
            </w:pPr>
            <w:r w:rsidRPr="00AD3867">
              <w:rPr>
                <w:rFonts w:cstheme="minorHAnsi"/>
                <w:color w:val="000000"/>
                <w:sz w:val="20"/>
                <w:szCs w:val="20"/>
              </w:rPr>
              <w:t>112,485</w:t>
            </w:r>
          </w:p>
        </w:tc>
        <w:tc>
          <w:tcPr>
            <w:tcW w:w="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FC6961" w14:textId="77777777" w:rsidR="00515C56" w:rsidRPr="00AD3867" w:rsidRDefault="00515C56">
            <w:pPr>
              <w:jc w:val="right"/>
              <w:rPr>
                <w:rFonts w:cstheme="minorHAnsi"/>
                <w:color w:val="000000"/>
                <w:sz w:val="20"/>
                <w:szCs w:val="20"/>
              </w:rPr>
            </w:pPr>
            <w:r w:rsidRPr="00AD3867">
              <w:rPr>
                <w:rFonts w:cstheme="minorHAnsi"/>
                <w:color w:val="000000"/>
                <w:sz w:val="20"/>
                <w:szCs w:val="20"/>
              </w:rPr>
              <w:t>14,145</w:t>
            </w:r>
          </w:p>
        </w:tc>
        <w:tc>
          <w:tcPr>
            <w:tcW w:w="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638800" w14:textId="77777777" w:rsidR="00515C56" w:rsidRPr="00AD3867" w:rsidRDefault="00515C56">
            <w:pPr>
              <w:jc w:val="right"/>
              <w:rPr>
                <w:rFonts w:cstheme="minorHAnsi"/>
                <w:color w:val="000000"/>
                <w:sz w:val="20"/>
                <w:szCs w:val="20"/>
              </w:rPr>
            </w:pPr>
            <w:r w:rsidRPr="00AD3867">
              <w:rPr>
                <w:rFonts w:cstheme="minorHAnsi"/>
                <w:color w:val="000000"/>
                <w:sz w:val="20"/>
                <w:szCs w:val="20"/>
              </w:rPr>
              <w:t>586</w:t>
            </w:r>
          </w:p>
        </w:tc>
        <w:tc>
          <w:tcPr>
            <w:tcW w:w="7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655910" w14:textId="77777777" w:rsidR="00515C56" w:rsidRPr="00AD3867" w:rsidRDefault="00515C56">
            <w:pPr>
              <w:jc w:val="right"/>
              <w:rPr>
                <w:rFonts w:cstheme="minorHAnsi"/>
                <w:color w:val="000000"/>
                <w:sz w:val="20"/>
                <w:szCs w:val="20"/>
              </w:rPr>
            </w:pPr>
            <w:r w:rsidRPr="00AD3867">
              <w:rPr>
                <w:rFonts w:cstheme="minorHAnsi"/>
                <w:color w:val="000000"/>
                <w:sz w:val="20"/>
                <w:szCs w:val="20"/>
              </w:rPr>
              <w:t>706</w:t>
            </w:r>
          </w:p>
        </w:tc>
        <w:tc>
          <w:tcPr>
            <w:tcW w:w="8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16BEAF" w14:textId="77777777" w:rsidR="00515C56" w:rsidRPr="00AD3867" w:rsidRDefault="00515C56">
            <w:pPr>
              <w:jc w:val="right"/>
              <w:rPr>
                <w:rFonts w:cstheme="minorHAnsi"/>
                <w:color w:val="000000"/>
                <w:sz w:val="20"/>
                <w:szCs w:val="20"/>
              </w:rPr>
            </w:pPr>
            <w:r w:rsidRPr="00AD3867">
              <w:rPr>
                <w:rFonts w:cstheme="minorHAnsi"/>
                <w:color w:val="000000"/>
                <w:sz w:val="20"/>
                <w:szCs w:val="20"/>
              </w:rPr>
              <w:t>706</w:t>
            </w:r>
          </w:p>
        </w:tc>
        <w:tc>
          <w:tcPr>
            <w:tcW w:w="6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9E33C9" w14:textId="77777777" w:rsidR="00515C56" w:rsidRPr="00AD3867" w:rsidRDefault="00515C56">
            <w:pPr>
              <w:jc w:val="right"/>
              <w:rPr>
                <w:rFonts w:cstheme="minorHAnsi"/>
                <w:color w:val="000000"/>
                <w:sz w:val="20"/>
                <w:szCs w:val="20"/>
              </w:rPr>
            </w:pPr>
            <w:r w:rsidRPr="00AD3867">
              <w:rPr>
                <w:rFonts w:cstheme="minorHAnsi"/>
                <w:color w:val="000000"/>
                <w:sz w:val="20"/>
                <w:szCs w:val="20"/>
              </w:rPr>
              <w:t>-7%</w:t>
            </w:r>
          </w:p>
        </w:tc>
        <w:tc>
          <w:tcPr>
            <w:tcW w:w="67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359BA7" w14:textId="77777777" w:rsidR="00515C56" w:rsidRPr="00AD3867" w:rsidRDefault="00515C56">
            <w:pPr>
              <w:jc w:val="right"/>
              <w:rPr>
                <w:rFonts w:cstheme="minorHAnsi"/>
                <w:color w:val="000000"/>
                <w:sz w:val="20"/>
                <w:szCs w:val="20"/>
              </w:rPr>
            </w:pPr>
            <w:r w:rsidRPr="00AD3867">
              <w:rPr>
                <w:rFonts w:cstheme="minorHAnsi"/>
                <w:color w:val="000000"/>
                <w:sz w:val="20"/>
                <w:szCs w:val="20"/>
              </w:rPr>
              <w:t>0%</w:t>
            </w:r>
          </w:p>
        </w:tc>
        <w:tc>
          <w:tcPr>
            <w:tcW w:w="6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A15CC3" w14:textId="77777777" w:rsidR="00515C56" w:rsidRPr="00AD3867" w:rsidRDefault="00515C56">
            <w:pPr>
              <w:jc w:val="right"/>
              <w:rPr>
                <w:rFonts w:cstheme="minorHAnsi"/>
                <w:color w:val="000000"/>
                <w:sz w:val="20"/>
                <w:szCs w:val="20"/>
              </w:rPr>
            </w:pPr>
            <w:r w:rsidRPr="00AD3867">
              <w:rPr>
                <w:rFonts w:cstheme="minorHAnsi"/>
                <w:color w:val="000000"/>
                <w:sz w:val="20"/>
                <w:szCs w:val="20"/>
              </w:rPr>
              <w:t>-1%</w:t>
            </w:r>
          </w:p>
        </w:tc>
        <w:tc>
          <w:tcPr>
            <w:tcW w:w="712"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7091DD" w14:textId="77777777" w:rsidR="00515C56" w:rsidRPr="00AD3867" w:rsidRDefault="00515C56">
            <w:pPr>
              <w:jc w:val="right"/>
              <w:rPr>
                <w:rFonts w:cstheme="minorHAnsi"/>
                <w:color w:val="000000"/>
                <w:sz w:val="20"/>
                <w:szCs w:val="20"/>
              </w:rPr>
            </w:pPr>
            <w:r w:rsidRPr="00AD3867">
              <w:rPr>
                <w:rFonts w:cstheme="minorHAnsi"/>
                <w:color w:val="000000"/>
                <w:sz w:val="20"/>
                <w:szCs w:val="20"/>
              </w:rPr>
              <w:t>-2%</w:t>
            </w:r>
          </w:p>
        </w:tc>
        <w:tc>
          <w:tcPr>
            <w:tcW w:w="797"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9889C6" w14:textId="77777777" w:rsidR="00515C56" w:rsidRPr="00AD3867" w:rsidRDefault="00515C56">
            <w:pPr>
              <w:jc w:val="right"/>
              <w:rPr>
                <w:rFonts w:cstheme="minorHAnsi"/>
                <w:color w:val="000000"/>
                <w:sz w:val="20"/>
                <w:szCs w:val="20"/>
              </w:rPr>
            </w:pPr>
            <w:r w:rsidRPr="00AD3867">
              <w:rPr>
                <w:rFonts w:cstheme="minorHAnsi"/>
                <w:color w:val="000000"/>
                <w:sz w:val="20"/>
                <w:szCs w:val="20"/>
              </w:rPr>
              <w:t>-10%</w:t>
            </w:r>
          </w:p>
        </w:tc>
        <w:tc>
          <w:tcPr>
            <w:tcW w:w="80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EA5D81" w14:textId="77777777" w:rsidR="00515C56" w:rsidRPr="00AD3867" w:rsidRDefault="00515C56">
            <w:pPr>
              <w:jc w:val="right"/>
              <w:rPr>
                <w:rFonts w:cstheme="minorHAnsi"/>
                <w:color w:val="000000"/>
                <w:sz w:val="20"/>
                <w:szCs w:val="20"/>
              </w:rPr>
            </w:pPr>
            <w:r w:rsidRPr="00AD3867">
              <w:rPr>
                <w:rFonts w:cstheme="minorHAnsi"/>
                <w:color w:val="000000"/>
                <w:sz w:val="20"/>
                <w:szCs w:val="20"/>
              </w:rPr>
              <w:t>-7%</w:t>
            </w:r>
          </w:p>
        </w:tc>
      </w:tr>
      <w:tr w:rsidR="00CA7BE3" w:rsidRPr="00AD3867" w14:paraId="3EE9762F" w14:textId="77777777" w:rsidTr="00CA7BE3">
        <w:trPr>
          <w:trHeight w:val="334"/>
        </w:trPr>
        <w:tc>
          <w:tcPr>
            <w:tcW w:w="692" w:type="dxa"/>
            <w:tcBorders>
              <w:top w:val="nil"/>
              <w:left w:val="single" w:sz="8" w:space="0" w:color="auto"/>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43BDFB16" w14:textId="77777777" w:rsidR="00515C56" w:rsidRPr="00AD3867" w:rsidRDefault="00515C56">
            <w:pPr>
              <w:rPr>
                <w:rFonts w:cstheme="minorHAnsi"/>
                <w:color w:val="000000"/>
                <w:sz w:val="20"/>
                <w:szCs w:val="20"/>
              </w:rPr>
            </w:pPr>
            <w:r w:rsidRPr="00AD3867">
              <w:rPr>
                <w:rFonts w:cstheme="minorHAnsi"/>
                <w:color w:val="000000"/>
                <w:sz w:val="20"/>
                <w:szCs w:val="20"/>
              </w:rPr>
              <w:t>WY</w:t>
            </w:r>
          </w:p>
        </w:tc>
        <w:tc>
          <w:tcPr>
            <w:tcW w:w="773"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6A565607" w14:textId="77777777" w:rsidR="00515C56" w:rsidRPr="00AD3867" w:rsidRDefault="00515C56">
            <w:pPr>
              <w:jc w:val="right"/>
              <w:rPr>
                <w:rFonts w:cstheme="minorHAnsi"/>
                <w:color w:val="000000"/>
                <w:sz w:val="20"/>
                <w:szCs w:val="20"/>
              </w:rPr>
            </w:pPr>
            <w:r w:rsidRPr="00AD3867">
              <w:rPr>
                <w:rFonts w:cstheme="minorHAnsi"/>
                <w:color w:val="000000"/>
                <w:sz w:val="20"/>
                <w:szCs w:val="20"/>
              </w:rPr>
              <w:t>32,632</w:t>
            </w:r>
          </w:p>
        </w:tc>
        <w:tc>
          <w:tcPr>
            <w:tcW w:w="875"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0D2F3EFC" w14:textId="77777777" w:rsidR="00515C56" w:rsidRPr="00AD3867" w:rsidRDefault="00515C56">
            <w:pPr>
              <w:jc w:val="right"/>
              <w:rPr>
                <w:rFonts w:cstheme="minorHAnsi"/>
                <w:color w:val="000000"/>
                <w:sz w:val="20"/>
                <w:szCs w:val="20"/>
              </w:rPr>
            </w:pPr>
            <w:r w:rsidRPr="00AD3867">
              <w:rPr>
                <w:rFonts w:cstheme="minorHAnsi"/>
                <w:color w:val="000000"/>
                <w:sz w:val="20"/>
                <w:szCs w:val="20"/>
              </w:rPr>
              <w:t>216,127</w:t>
            </w:r>
          </w:p>
        </w:tc>
        <w:tc>
          <w:tcPr>
            <w:tcW w:w="885"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6890075C" w14:textId="77777777" w:rsidR="00515C56" w:rsidRPr="00AD3867" w:rsidRDefault="00515C56">
            <w:pPr>
              <w:jc w:val="right"/>
              <w:rPr>
                <w:rFonts w:cstheme="minorHAnsi"/>
                <w:color w:val="000000"/>
                <w:sz w:val="20"/>
                <w:szCs w:val="20"/>
              </w:rPr>
            </w:pPr>
            <w:r w:rsidRPr="00AD3867">
              <w:rPr>
                <w:rFonts w:cstheme="minorHAnsi"/>
                <w:color w:val="000000"/>
                <w:sz w:val="20"/>
                <w:szCs w:val="20"/>
              </w:rPr>
              <w:t>19,432</w:t>
            </w:r>
          </w:p>
        </w:tc>
        <w:tc>
          <w:tcPr>
            <w:tcW w:w="672"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78774F00" w14:textId="77777777" w:rsidR="00515C56" w:rsidRPr="00AD3867" w:rsidRDefault="00515C56">
            <w:pPr>
              <w:jc w:val="right"/>
              <w:rPr>
                <w:rFonts w:cstheme="minorHAnsi"/>
                <w:color w:val="000000"/>
                <w:sz w:val="20"/>
                <w:szCs w:val="20"/>
              </w:rPr>
            </w:pPr>
            <w:r w:rsidRPr="00AD3867">
              <w:rPr>
                <w:rFonts w:cstheme="minorHAnsi"/>
                <w:color w:val="000000"/>
                <w:sz w:val="20"/>
                <w:szCs w:val="20"/>
              </w:rPr>
              <w:t>7,542</w:t>
            </w:r>
          </w:p>
        </w:tc>
        <w:tc>
          <w:tcPr>
            <w:tcW w:w="749"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141EB980" w14:textId="77777777" w:rsidR="00515C56" w:rsidRPr="00AD3867" w:rsidRDefault="00515C56">
            <w:pPr>
              <w:jc w:val="right"/>
              <w:rPr>
                <w:rFonts w:cstheme="minorHAnsi"/>
                <w:color w:val="000000"/>
                <w:sz w:val="20"/>
                <w:szCs w:val="20"/>
              </w:rPr>
            </w:pPr>
            <w:r w:rsidRPr="00AD3867">
              <w:rPr>
                <w:rFonts w:cstheme="minorHAnsi"/>
                <w:color w:val="000000"/>
                <w:sz w:val="20"/>
                <w:szCs w:val="20"/>
              </w:rPr>
              <w:t>1,343</w:t>
            </w:r>
          </w:p>
        </w:tc>
        <w:tc>
          <w:tcPr>
            <w:tcW w:w="808"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79BF18C5" w14:textId="77777777" w:rsidR="00515C56" w:rsidRPr="00AD3867" w:rsidRDefault="00515C56">
            <w:pPr>
              <w:jc w:val="right"/>
              <w:rPr>
                <w:rFonts w:cstheme="minorHAnsi"/>
                <w:color w:val="000000"/>
                <w:sz w:val="20"/>
                <w:szCs w:val="20"/>
              </w:rPr>
            </w:pPr>
            <w:r w:rsidRPr="00AD3867">
              <w:rPr>
                <w:rFonts w:cstheme="minorHAnsi"/>
                <w:color w:val="000000"/>
                <w:sz w:val="20"/>
                <w:szCs w:val="20"/>
              </w:rPr>
              <w:t>1,204</w:t>
            </w:r>
          </w:p>
        </w:tc>
        <w:tc>
          <w:tcPr>
            <w:tcW w:w="829" w:type="dxa"/>
            <w:gridSpan w:val="2"/>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33264364" w14:textId="77777777" w:rsidR="00515C56" w:rsidRPr="00AD3867" w:rsidRDefault="00515C56">
            <w:pPr>
              <w:jc w:val="right"/>
              <w:rPr>
                <w:rFonts w:cstheme="minorHAnsi"/>
                <w:color w:val="000000"/>
                <w:sz w:val="20"/>
                <w:szCs w:val="20"/>
              </w:rPr>
            </w:pPr>
            <w:r w:rsidRPr="00AD3867">
              <w:rPr>
                <w:rFonts w:cstheme="minorHAnsi"/>
                <w:color w:val="000000"/>
                <w:sz w:val="20"/>
                <w:szCs w:val="20"/>
              </w:rPr>
              <w:t>46,171</w:t>
            </w:r>
          </w:p>
        </w:tc>
        <w:tc>
          <w:tcPr>
            <w:tcW w:w="875"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5DF416B0" w14:textId="77777777" w:rsidR="00515C56" w:rsidRPr="00AD3867" w:rsidRDefault="00515C56">
            <w:pPr>
              <w:jc w:val="right"/>
              <w:rPr>
                <w:rFonts w:cstheme="minorHAnsi"/>
                <w:color w:val="000000"/>
                <w:sz w:val="20"/>
                <w:szCs w:val="20"/>
              </w:rPr>
            </w:pPr>
            <w:r w:rsidRPr="00AD3867">
              <w:rPr>
                <w:rFonts w:cstheme="minorHAnsi"/>
                <w:color w:val="000000"/>
                <w:sz w:val="20"/>
                <w:szCs w:val="20"/>
              </w:rPr>
              <w:t>264,821</w:t>
            </w:r>
          </w:p>
        </w:tc>
        <w:tc>
          <w:tcPr>
            <w:tcW w:w="875"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78174316" w14:textId="77777777" w:rsidR="00515C56" w:rsidRPr="00AD3867" w:rsidRDefault="00515C56">
            <w:pPr>
              <w:jc w:val="right"/>
              <w:rPr>
                <w:rFonts w:cstheme="minorHAnsi"/>
                <w:color w:val="000000"/>
                <w:sz w:val="20"/>
                <w:szCs w:val="20"/>
              </w:rPr>
            </w:pPr>
            <w:r w:rsidRPr="00AD3867">
              <w:rPr>
                <w:rFonts w:cstheme="minorHAnsi"/>
                <w:color w:val="000000"/>
                <w:sz w:val="20"/>
                <w:szCs w:val="20"/>
              </w:rPr>
              <w:t>21,384</w:t>
            </w:r>
          </w:p>
        </w:tc>
        <w:tc>
          <w:tcPr>
            <w:tcW w:w="773"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2F75AB70" w14:textId="77777777" w:rsidR="00515C56" w:rsidRPr="00AD3867" w:rsidRDefault="00515C56">
            <w:pPr>
              <w:jc w:val="right"/>
              <w:rPr>
                <w:rFonts w:cstheme="minorHAnsi"/>
                <w:color w:val="000000"/>
                <w:sz w:val="20"/>
                <w:szCs w:val="20"/>
              </w:rPr>
            </w:pPr>
            <w:r w:rsidRPr="00AD3867">
              <w:rPr>
                <w:rFonts w:cstheme="minorHAnsi"/>
                <w:color w:val="000000"/>
                <w:sz w:val="20"/>
                <w:szCs w:val="20"/>
              </w:rPr>
              <w:t>6,888</w:t>
            </w:r>
          </w:p>
        </w:tc>
        <w:tc>
          <w:tcPr>
            <w:tcW w:w="749"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503EB8AF" w14:textId="77777777" w:rsidR="00515C56" w:rsidRPr="00AD3867" w:rsidRDefault="00515C56">
            <w:pPr>
              <w:jc w:val="right"/>
              <w:rPr>
                <w:rFonts w:cstheme="minorHAnsi"/>
                <w:color w:val="000000"/>
                <w:sz w:val="20"/>
                <w:szCs w:val="20"/>
              </w:rPr>
            </w:pPr>
            <w:r w:rsidRPr="00AD3867">
              <w:rPr>
                <w:rFonts w:cstheme="minorHAnsi"/>
                <w:color w:val="000000"/>
                <w:sz w:val="20"/>
                <w:szCs w:val="20"/>
              </w:rPr>
              <w:t>1,276</w:t>
            </w:r>
          </w:p>
        </w:tc>
        <w:tc>
          <w:tcPr>
            <w:tcW w:w="808"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113FF8FA" w14:textId="77777777" w:rsidR="00515C56" w:rsidRPr="00AD3867" w:rsidRDefault="00515C56">
            <w:pPr>
              <w:jc w:val="right"/>
              <w:rPr>
                <w:rFonts w:cstheme="minorHAnsi"/>
                <w:color w:val="000000"/>
                <w:sz w:val="20"/>
                <w:szCs w:val="20"/>
              </w:rPr>
            </w:pPr>
            <w:r w:rsidRPr="00AD3867">
              <w:rPr>
                <w:rFonts w:cstheme="minorHAnsi"/>
                <w:color w:val="000000"/>
                <w:sz w:val="20"/>
                <w:szCs w:val="20"/>
              </w:rPr>
              <w:t>1,276</w:t>
            </w:r>
          </w:p>
        </w:tc>
        <w:tc>
          <w:tcPr>
            <w:tcW w:w="647"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5E3F5BC5" w14:textId="77777777" w:rsidR="00515C56" w:rsidRPr="00AD3867" w:rsidRDefault="00515C56">
            <w:pPr>
              <w:jc w:val="right"/>
              <w:rPr>
                <w:rFonts w:cstheme="minorHAnsi"/>
                <w:color w:val="000000"/>
                <w:sz w:val="20"/>
                <w:szCs w:val="20"/>
              </w:rPr>
            </w:pPr>
            <w:r w:rsidRPr="00AD3867">
              <w:rPr>
                <w:rFonts w:cstheme="minorHAnsi"/>
                <w:color w:val="000000"/>
                <w:sz w:val="20"/>
                <w:szCs w:val="20"/>
              </w:rPr>
              <w:t>41%</w:t>
            </w:r>
          </w:p>
        </w:tc>
        <w:tc>
          <w:tcPr>
            <w:tcW w:w="674" w:type="dxa"/>
            <w:gridSpan w:val="2"/>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3FB08350" w14:textId="77777777" w:rsidR="00515C56" w:rsidRPr="00AD3867" w:rsidRDefault="00515C56">
            <w:pPr>
              <w:jc w:val="right"/>
              <w:rPr>
                <w:rFonts w:cstheme="minorHAnsi"/>
                <w:color w:val="000000"/>
                <w:sz w:val="20"/>
                <w:szCs w:val="20"/>
              </w:rPr>
            </w:pPr>
            <w:r w:rsidRPr="00AD3867">
              <w:rPr>
                <w:rFonts w:cstheme="minorHAnsi"/>
                <w:color w:val="000000"/>
                <w:sz w:val="20"/>
                <w:szCs w:val="20"/>
              </w:rPr>
              <w:t>23%</w:t>
            </w:r>
          </w:p>
        </w:tc>
        <w:tc>
          <w:tcPr>
            <w:tcW w:w="641"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71AA595E" w14:textId="77777777" w:rsidR="00515C56" w:rsidRPr="00AD3867" w:rsidRDefault="00515C56">
            <w:pPr>
              <w:jc w:val="right"/>
              <w:rPr>
                <w:rFonts w:cstheme="minorHAnsi"/>
                <w:color w:val="000000"/>
                <w:sz w:val="20"/>
                <w:szCs w:val="20"/>
              </w:rPr>
            </w:pPr>
            <w:r w:rsidRPr="00AD3867">
              <w:rPr>
                <w:rFonts w:cstheme="minorHAnsi"/>
                <w:color w:val="000000"/>
                <w:sz w:val="20"/>
                <w:szCs w:val="20"/>
              </w:rPr>
              <w:t>10%</w:t>
            </w:r>
          </w:p>
        </w:tc>
        <w:tc>
          <w:tcPr>
            <w:tcW w:w="712" w:type="dxa"/>
            <w:gridSpan w:val="3"/>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2F336C07" w14:textId="77777777" w:rsidR="00515C56" w:rsidRPr="00AD3867" w:rsidRDefault="00515C56">
            <w:pPr>
              <w:jc w:val="right"/>
              <w:rPr>
                <w:rFonts w:cstheme="minorHAnsi"/>
                <w:color w:val="000000"/>
                <w:sz w:val="20"/>
                <w:szCs w:val="20"/>
              </w:rPr>
            </w:pPr>
            <w:r w:rsidRPr="00AD3867">
              <w:rPr>
                <w:rFonts w:cstheme="minorHAnsi"/>
                <w:color w:val="000000"/>
                <w:sz w:val="20"/>
                <w:szCs w:val="20"/>
              </w:rPr>
              <w:t>-9%</w:t>
            </w:r>
          </w:p>
        </w:tc>
        <w:tc>
          <w:tcPr>
            <w:tcW w:w="797" w:type="dxa"/>
            <w:gridSpan w:val="2"/>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62C40C34" w14:textId="77777777" w:rsidR="00515C56" w:rsidRPr="00AD3867" w:rsidRDefault="00515C56">
            <w:pPr>
              <w:jc w:val="right"/>
              <w:rPr>
                <w:rFonts w:cstheme="minorHAnsi"/>
                <w:color w:val="000000"/>
                <w:sz w:val="20"/>
                <w:szCs w:val="20"/>
              </w:rPr>
            </w:pPr>
            <w:r w:rsidRPr="00AD3867">
              <w:rPr>
                <w:rFonts w:cstheme="minorHAnsi"/>
                <w:color w:val="000000"/>
                <w:sz w:val="20"/>
                <w:szCs w:val="20"/>
              </w:rPr>
              <w:t>-5%</w:t>
            </w:r>
          </w:p>
        </w:tc>
        <w:tc>
          <w:tcPr>
            <w:tcW w:w="808" w:type="dxa"/>
            <w:gridSpan w:val="2"/>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1615018F" w14:textId="77777777" w:rsidR="00515C56" w:rsidRPr="00AD3867" w:rsidRDefault="00515C56">
            <w:pPr>
              <w:jc w:val="right"/>
              <w:rPr>
                <w:rFonts w:cstheme="minorHAnsi"/>
                <w:color w:val="000000"/>
                <w:sz w:val="20"/>
                <w:szCs w:val="20"/>
              </w:rPr>
            </w:pPr>
            <w:r w:rsidRPr="00AD3867">
              <w:rPr>
                <w:rFonts w:cstheme="minorHAnsi"/>
                <w:color w:val="000000"/>
                <w:sz w:val="20"/>
                <w:szCs w:val="20"/>
              </w:rPr>
              <w:t>6%</w:t>
            </w:r>
          </w:p>
        </w:tc>
      </w:tr>
      <w:tr w:rsidR="00CA7BE3" w14:paraId="2F90C97C" w14:textId="77777777" w:rsidTr="00CA7BE3">
        <w:trPr>
          <w:trHeight w:val="288"/>
        </w:trPr>
        <w:tc>
          <w:tcPr>
            <w:tcW w:w="14642" w:type="dxa"/>
            <w:gridSpan w:val="25"/>
            <w:noWrap/>
            <w:tcMar>
              <w:top w:w="0" w:type="dxa"/>
              <w:left w:w="108" w:type="dxa"/>
              <w:bottom w:w="0" w:type="dxa"/>
              <w:right w:w="108" w:type="dxa"/>
            </w:tcMar>
            <w:vAlign w:val="center"/>
            <w:hideMark/>
          </w:tcPr>
          <w:p w14:paraId="1D67BB7F" w14:textId="458592F2" w:rsidR="00515C56" w:rsidRDefault="00515C56" w:rsidP="00CA7BE3">
            <w:pPr>
              <w:rPr>
                <w:color w:val="000000"/>
              </w:rPr>
            </w:pPr>
            <w:r>
              <w:rPr>
                <w:color w:val="000000"/>
              </w:rPr>
              <w:t>* The Great Plains Synfuels Plant (coal gasification facility in North Dakota) will be moved from the O&amp;G point source emission inventory to the point non-</w:t>
            </w:r>
            <w:r w:rsidR="00CA7BE3">
              <w:rPr>
                <w:color w:val="000000"/>
              </w:rPr>
              <w:t>EGU</w:t>
            </w:r>
            <w:r>
              <w:rPr>
                <w:color w:val="000000"/>
              </w:rPr>
              <w:t xml:space="preserve"> emission inventory in WRAP Shakeout v2 modeling because it </w:t>
            </w:r>
            <w:r w:rsidR="00CA7BE3">
              <w:rPr>
                <w:color w:val="000000"/>
              </w:rPr>
              <w:t>wa</w:t>
            </w:r>
            <w:r>
              <w:rPr>
                <w:color w:val="000000"/>
              </w:rPr>
              <w:t xml:space="preserve">s </w:t>
            </w:r>
            <w:r w:rsidR="00CA7BE3">
              <w:rPr>
                <w:color w:val="000000"/>
              </w:rPr>
              <w:t xml:space="preserve">incorrectly </w:t>
            </w:r>
            <w:r>
              <w:rPr>
                <w:color w:val="000000"/>
              </w:rPr>
              <w:t>included in the WRAP</w:t>
            </w:r>
            <w:r w:rsidR="00CA7BE3">
              <w:rPr>
                <w:color w:val="000000"/>
              </w:rPr>
              <w:t xml:space="preserve"> v1 modeling as an </w:t>
            </w:r>
            <w:r>
              <w:rPr>
                <w:color w:val="000000"/>
              </w:rPr>
              <w:t>O&amp;G emission inventory</w:t>
            </w:r>
            <w:r w:rsidR="00CA7BE3">
              <w:rPr>
                <w:color w:val="000000"/>
              </w:rPr>
              <w:t xml:space="preserve"> source</w:t>
            </w:r>
            <w:r>
              <w:rPr>
                <w:color w:val="000000"/>
              </w:rPr>
              <w:t>.</w:t>
            </w:r>
          </w:p>
        </w:tc>
      </w:tr>
      <w:tr w:rsidR="00AD3867" w14:paraId="71143DBC" w14:textId="77777777" w:rsidTr="00CA7BE3">
        <w:trPr>
          <w:trHeight w:val="288"/>
        </w:trPr>
        <w:tc>
          <w:tcPr>
            <w:tcW w:w="692" w:type="dxa"/>
            <w:shd w:val="clear" w:color="auto" w:fill="FFF2CC"/>
            <w:noWrap/>
            <w:tcMar>
              <w:top w:w="0" w:type="dxa"/>
              <w:left w:w="108" w:type="dxa"/>
              <w:bottom w:w="0" w:type="dxa"/>
              <w:right w:w="108" w:type="dxa"/>
            </w:tcMar>
            <w:vAlign w:val="bottom"/>
            <w:hideMark/>
          </w:tcPr>
          <w:p w14:paraId="608E656C" w14:textId="77777777" w:rsidR="00515C56" w:rsidRDefault="00515C56">
            <w:pPr>
              <w:rPr>
                <w:color w:val="000000"/>
              </w:rPr>
            </w:pPr>
            <w:r>
              <w:rPr>
                <w:color w:val="000000"/>
              </w:rPr>
              <w:t> </w:t>
            </w:r>
          </w:p>
        </w:tc>
        <w:tc>
          <w:tcPr>
            <w:tcW w:w="10862" w:type="dxa"/>
            <w:gridSpan w:val="15"/>
            <w:noWrap/>
            <w:tcMar>
              <w:top w:w="0" w:type="dxa"/>
              <w:left w:w="108" w:type="dxa"/>
              <w:bottom w:w="0" w:type="dxa"/>
              <w:right w:w="108" w:type="dxa"/>
            </w:tcMar>
            <w:vAlign w:val="bottom"/>
            <w:hideMark/>
          </w:tcPr>
          <w:p w14:paraId="51D5D619" w14:textId="4999550D" w:rsidR="00515C56" w:rsidRDefault="00DD480F" w:rsidP="00CA7BE3">
            <w:pPr>
              <w:rPr>
                <w:color w:val="000000"/>
              </w:rPr>
            </w:pPr>
            <w:r>
              <w:rPr>
                <w:color w:val="000000"/>
              </w:rPr>
              <w:t>H</w:t>
            </w:r>
            <w:r w:rsidR="00515C56">
              <w:rPr>
                <w:color w:val="000000"/>
              </w:rPr>
              <w:t>ighlighted states</w:t>
            </w:r>
            <w:r>
              <w:rPr>
                <w:color w:val="000000"/>
              </w:rPr>
              <w:t xml:space="preserve"> have</w:t>
            </w:r>
            <w:r w:rsidR="00515C56">
              <w:rPr>
                <w:color w:val="000000"/>
              </w:rPr>
              <w:t xml:space="preserve"> indicated that the WRAP O&amp;G Working Group Emission Inventory v2 should be used in the </w:t>
            </w:r>
            <w:r w:rsidR="00CA7BE3">
              <w:rPr>
                <w:color w:val="000000"/>
              </w:rPr>
              <w:t>S</w:t>
            </w:r>
            <w:r w:rsidR="00515C56">
              <w:rPr>
                <w:color w:val="000000"/>
              </w:rPr>
              <w:t>hakeout Modeling v2</w:t>
            </w:r>
            <w:r w:rsidR="00CA7BE3">
              <w:rPr>
                <w:color w:val="000000"/>
              </w:rPr>
              <w:t>.  Other upstream O&amp;G emissions will be the same v1 to v2, except California.</w:t>
            </w:r>
          </w:p>
        </w:tc>
        <w:tc>
          <w:tcPr>
            <w:tcW w:w="782" w:type="dxa"/>
            <w:gridSpan w:val="3"/>
            <w:noWrap/>
            <w:tcMar>
              <w:top w:w="0" w:type="dxa"/>
              <w:left w:w="108" w:type="dxa"/>
              <w:bottom w:w="0" w:type="dxa"/>
              <w:right w:w="108" w:type="dxa"/>
            </w:tcMar>
            <w:vAlign w:val="bottom"/>
            <w:hideMark/>
          </w:tcPr>
          <w:p w14:paraId="13834C36" w14:textId="77777777" w:rsidR="00515C56" w:rsidRDefault="00515C56">
            <w:pPr>
              <w:rPr>
                <w:color w:val="000000"/>
              </w:rPr>
            </w:pPr>
          </w:p>
        </w:tc>
        <w:tc>
          <w:tcPr>
            <w:tcW w:w="300" w:type="dxa"/>
            <w:noWrap/>
            <w:tcMar>
              <w:top w:w="0" w:type="dxa"/>
              <w:left w:w="108" w:type="dxa"/>
              <w:bottom w:w="0" w:type="dxa"/>
              <w:right w:w="108" w:type="dxa"/>
            </w:tcMar>
            <w:vAlign w:val="bottom"/>
            <w:hideMark/>
          </w:tcPr>
          <w:p w14:paraId="2F0F5FE7" w14:textId="77777777" w:rsidR="00515C56" w:rsidRDefault="00515C56">
            <w:pPr>
              <w:rPr>
                <w:rFonts w:ascii="Times New Roman" w:eastAsia="Times New Roman" w:hAnsi="Times New Roman" w:cs="Times New Roman"/>
                <w:sz w:val="20"/>
                <w:szCs w:val="20"/>
              </w:rPr>
            </w:pPr>
          </w:p>
        </w:tc>
        <w:tc>
          <w:tcPr>
            <w:tcW w:w="1091" w:type="dxa"/>
            <w:gridSpan w:val="2"/>
            <w:noWrap/>
            <w:tcMar>
              <w:top w:w="0" w:type="dxa"/>
              <w:left w:w="108" w:type="dxa"/>
              <w:bottom w:w="0" w:type="dxa"/>
              <w:right w:w="108" w:type="dxa"/>
            </w:tcMar>
            <w:vAlign w:val="bottom"/>
            <w:hideMark/>
          </w:tcPr>
          <w:p w14:paraId="7BDEE1CD" w14:textId="77777777" w:rsidR="00515C56" w:rsidRDefault="00515C56">
            <w:pPr>
              <w:rPr>
                <w:rFonts w:ascii="Times New Roman" w:eastAsia="Times New Roman" w:hAnsi="Times New Roman" w:cs="Times New Roman"/>
                <w:sz w:val="20"/>
                <w:szCs w:val="20"/>
              </w:rPr>
            </w:pPr>
          </w:p>
        </w:tc>
        <w:tc>
          <w:tcPr>
            <w:tcW w:w="446" w:type="dxa"/>
            <w:gridSpan w:val="2"/>
            <w:noWrap/>
            <w:tcMar>
              <w:top w:w="0" w:type="dxa"/>
              <w:left w:w="108" w:type="dxa"/>
              <w:bottom w:w="0" w:type="dxa"/>
              <w:right w:w="108" w:type="dxa"/>
            </w:tcMar>
            <w:vAlign w:val="bottom"/>
            <w:hideMark/>
          </w:tcPr>
          <w:p w14:paraId="30898137" w14:textId="77777777" w:rsidR="00515C56" w:rsidRDefault="00515C56">
            <w:pPr>
              <w:rPr>
                <w:rFonts w:ascii="Times New Roman" w:eastAsia="Times New Roman" w:hAnsi="Times New Roman" w:cs="Times New Roman"/>
                <w:sz w:val="20"/>
                <w:szCs w:val="20"/>
              </w:rPr>
            </w:pPr>
          </w:p>
        </w:tc>
        <w:tc>
          <w:tcPr>
            <w:tcW w:w="469" w:type="dxa"/>
            <w:noWrap/>
            <w:tcMar>
              <w:top w:w="0" w:type="dxa"/>
              <w:left w:w="108" w:type="dxa"/>
              <w:bottom w:w="0" w:type="dxa"/>
              <w:right w:w="108" w:type="dxa"/>
            </w:tcMar>
            <w:vAlign w:val="bottom"/>
            <w:hideMark/>
          </w:tcPr>
          <w:p w14:paraId="262EEBAE" w14:textId="77777777" w:rsidR="00515C56" w:rsidRDefault="00515C56">
            <w:pPr>
              <w:rPr>
                <w:rFonts w:ascii="Times New Roman" w:eastAsia="Times New Roman" w:hAnsi="Times New Roman" w:cs="Times New Roman"/>
                <w:sz w:val="20"/>
                <w:szCs w:val="20"/>
              </w:rPr>
            </w:pPr>
          </w:p>
        </w:tc>
      </w:tr>
    </w:tbl>
    <w:p w14:paraId="30915919" w14:textId="1990E6C1" w:rsidR="006F40CB" w:rsidRDefault="006F40CB" w:rsidP="00515C56">
      <w:pPr>
        <w:rPr>
          <w:rFonts w:ascii="Calibri" w:hAnsi="Calibri" w:cs="Calibri"/>
        </w:rPr>
      </w:pPr>
    </w:p>
    <w:p w14:paraId="595355B1" w14:textId="77777777" w:rsidR="006F40CB" w:rsidRDefault="006F40CB">
      <w:pPr>
        <w:rPr>
          <w:rFonts w:ascii="Calibri" w:hAnsi="Calibri" w:cs="Calibri"/>
        </w:rPr>
        <w:sectPr w:rsidR="006F40CB" w:rsidSect="00515C56">
          <w:pgSz w:w="15840" w:h="12240" w:orient="landscape"/>
          <w:pgMar w:top="1170" w:right="720" w:bottom="1350" w:left="540" w:header="720" w:footer="720" w:gutter="0"/>
          <w:cols w:space="720"/>
          <w:docGrid w:linePitch="360"/>
        </w:sectPr>
      </w:pPr>
    </w:p>
    <w:p w14:paraId="66F141F8" w14:textId="6D0B4EB3" w:rsidR="006F40CB" w:rsidRDefault="006F40CB">
      <w:pPr>
        <w:rPr>
          <w:rFonts w:ascii="Calibri" w:hAnsi="Calibri" w:cs="Calibri"/>
        </w:rPr>
      </w:pPr>
    </w:p>
    <w:p w14:paraId="4CBA13A8" w14:textId="77777777" w:rsidR="00515C56" w:rsidRDefault="00515C56" w:rsidP="00515C56">
      <w:pPr>
        <w:rPr>
          <w:rFonts w:ascii="Calibri" w:hAnsi="Calibri" w:cs="Calibri"/>
        </w:rPr>
      </w:pPr>
    </w:p>
    <w:p w14:paraId="0BC5BC92" w14:textId="70199436" w:rsidR="006F40CB" w:rsidRDefault="006F40CB">
      <w:r>
        <w:t>Table 2. Emissions changes by sector in tons: WRAP 2014 Shakeout v1 to v2 (California not included)</w:t>
      </w:r>
    </w:p>
    <w:tbl>
      <w:tblPr>
        <w:tblW w:w="9180" w:type="dxa"/>
        <w:tblLook w:val="04A0" w:firstRow="1" w:lastRow="0" w:firstColumn="1" w:lastColumn="0" w:noHBand="0" w:noVBand="1"/>
      </w:tblPr>
      <w:tblGrid>
        <w:gridCol w:w="1200"/>
        <w:gridCol w:w="1410"/>
        <w:gridCol w:w="990"/>
        <w:gridCol w:w="810"/>
        <w:gridCol w:w="990"/>
        <w:gridCol w:w="900"/>
        <w:gridCol w:w="990"/>
        <w:gridCol w:w="900"/>
        <w:gridCol w:w="990"/>
      </w:tblGrid>
      <w:tr w:rsidR="006F40CB" w:rsidRPr="006F40CB" w14:paraId="5210229E" w14:textId="77777777" w:rsidTr="006F40CB">
        <w:trPr>
          <w:trHeight w:val="315"/>
        </w:trPr>
        <w:tc>
          <w:tcPr>
            <w:tcW w:w="1200" w:type="dxa"/>
            <w:tcBorders>
              <w:top w:val="nil"/>
              <w:left w:val="nil"/>
              <w:bottom w:val="single" w:sz="4" w:space="0" w:color="auto"/>
              <w:right w:val="nil"/>
            </w:tcBorders>
            <w:shd w:val="clear" w:color="auto" w:fill="auto"/>
            <w:noWrap/>
            <w:vAlign w:val="bottom"/>
            <w:hideMark/>
          </w:tcPr>
          <w:p w14:paraId="16688F5F" w14:textId="165275AE" w:rsidR="006F40CB" w:rsidRPr="006F40CB" w:rsidRDefault="006F40CB" w:rsidP="006F40CB">
            <w:pPr>
              <w:spacing w:after="0" w:line="240" w:lineRule="auto"/>
              <w:rPr>
                <w:rFonts w:ascii="Arial" w:eastAsia="Times New Roman" w:hAnsi="Arial" w:cs="Arial"/>
                <w:color w:val="000000"/>
                <w:sz w:val="20"/>
                <w:szCs w:val="20"/>
              </w:rPr>
            </w:pPr>
            <w:r>
              <w:t xml:space="preserve"> </w:t>
            </w:r>
            <w:r w:rsidRPr="006F40CB">
              <w:rPr>
                <w:rFonts w:ascii="Arial" w:eastAsia="Times New Roman" w:hAnsi="Arial" w:cs="Arial"/>
                <w:color w:val="000000"/>
                <w:sz w:val="20"/>
                <w:szCs w:val="20"/>
              </w:rPr>
              <w:t>Sector</w:t>
            </w:r>
          </w:p>
        </w:tc>
        <w:tc>
          <w:tcPr>
            <w:tcW w:w="1410" w:type="dxa"/>
            <w:tcBorders>
              <w:top w:val="nil"/>
              <w:left w:val="nil"/>
              <w:bottom w:val="single" w:sz="4" w:space="0" w:color="auto"/>
              <w:right w:val="nil"/>
            </w:tcBorders>
            <w:shd w:val="clear" w:color="auto" w:fill="auto"/>
            <w:noWrap/>
            <w:vAlign w:val="bottom"/>
            <w:hideMark/>
          </w:tcPr>
          <w:p w14:paraId="4450FE69" w14:textId="77777777" w:rsidR="006F40CB" w:rsidRPr="006F40CB" w:rsidRDefault="006F40CB" w:rsidP="006F40CB">
            <w:pPr>
              <w:spacing w:after="0" w:line="240" w:lineRule="auto"/>
              <w:rPr>
                <w:rFonts w:ascii="Arial" w:eastAsia="Times New Roman" w:hAnsi="Arial" w:cs="Arial"/>
                <w:color w:val="000000"/>
                <w:sz w:val="20"/>
                <w:szCs w:val="20"/>
              </w:rPr>
            </w:pPr>
            <w:r w:rsidRPr="006F40CB">
              <w:rPr>
                <w:rFonts w:ascii="Arial" w:eastAsia="Times New Roman" w:hAnsi="Arial" w:cs="Arial"/>
                <w:color w:val="000000"/>
                <w:sz w:val="20"/>
                <w:szCs w:val="20"/>
              </w:rPr>
              <w:t>State</w:t>
            </w:r>
          </w:p>
        </w:tc>
        <w:tc>
          <w:tcPr>
            <w:tcW w:w="990" w:type="dxa"/>
            <w:tcBorders>
              <w:top w:val="nil"/>
              <w:left w:val="nil"/>
              <w:bottom w:val="single" w:sz="4" w:space="0" w:color="auto"/>
              <w:right w:val="nil"/>
            </w:tcBorders>
            <w:shd w:val="clear" w:color="auto" w:fill="auto"/>
            <w:noWrap/>
            <w:vAlign w:val="bottom"/>
            <w:hideMark/>
          </w:tcPr>
          <w:p w14:paraId="723CE63F" w14:textId="77777777" w:rsidR="006F40CB" w:rsidRPr="006F40CB" w:rsidRDefault="006F40CB" w:rsidP="006F40CB">
            <w:pPr>
              <w:spacing w:after="0" w:line="240" w:lineRule="auto"/>
              <w:rPr>
                <w:rFonts w:ascii="Arial" w:eastAsia="Times New Roman" w:hAnsi="Arial" w:cs="Arial"/>
                <w:color w:val="000000"/>
                <w:sz w:val="20"/>
                <w:szCs w:val="20"/>
              </w:rPr>
            </w:pPr>
            <w:r w:rsidRPr="006F40CB">
              <w:rPr>
                <w:rFonts w:ascii="Arial" w:eastAsia="Times New Roman" w:hAnsi="Arial" w:cs="Arial"/>
                <w:color w:val="000000"/>
                <w:sz w:val="20"/>
                <w:szCs w:val="20"/>
              </w:rPr>
              <w:t>CO</w:t>
            </w:r>
          </w:p>
        </w:tc>
        <w:tc>
          <w:tcPr>
            <w:tcW w:w="810" w:type="dxa"/>
            <w:tcBorders>
              <w:top w:val="nil"/>
              <w:left w:val="nil"/>
              <w:bottom w:val="single" w:sz="4" w:space="0" w:color="auto"/>
              <w:right w:val="nil"/>
            </w:tcBorders>
            <w:shd w:val="clear" w:color="auto" w:fill="auto"/>
            <w:noWrap/>
            <w:vAlign w:val="bottom"/>
            <w:hideMark/>
          </w:tcPr>
          <w:p w14:paraId="2559F281" w14:textId="77777777" w:rsidR="006F40CB" w:rsidRPr="006F40CB" w:rsidRDefault="006F40CB" w:rsidP="006F40CB">
            <w:pPr>
              <w:spacing w:after="0" w:line="240" w:lineRule="auto"/>
              <w:rPr>
                <w:rFonts w:ascii="Arial" w:eastAsia="Times New Roman" w:hAnsi="Arial" w:cs="Arial"/>
                <w:color w:val="000000"/>
                <w:sz w:val="20"/>
                <w:szCs w:val="20"/>
              </w:rPr>
            </w:pPr>
            <w:r w:rsidRPr="006F40CB">
              <w:rPr>
                <w:rFonts w:ascii="Arial" w:eastAsia="Times New Roman" w:hAnsi="Arial" w:cs="Arial"/>
                <w:color w:val="000000"/>
                <w:sz w:val="20"/>
                <w:szCs w:val="20"/>
              </w:rPr>
              <w:t>NH3</w:t>
            </w:r>
          </w:p>
        </w:tc>
        <w:tc>
          <w:tcPr>
            <w:tcW w:w="990" w:type="dxa"/>
            <w:tcBorders>
              <w:top w:val="nil"/>
              <w:left w:val="nil"/>
              <w:bottom w:val="single" w:sz="4" w:space="0" w:color="auto"/>
              <w:right w:val="nil"/>
            </w:tcBorders>
            <w:shd w:val="clear" w:color="auto" w:fill="auto"/>
            <w:noWrap/>
            <w:vAlign w:val="bottom"/>
            <w:hideMark/>
          </w:tcPr>
          <w:p w14:paraId="06B8FCD5" w14:textId="77777777" w:rsidR="006F40CB" w:rsidRPr="006F40CB" w:rsidRDefault="006F40CB" w:rsidP="006F40CB">
            <w:pPr>
              <w:spacing w:after="0" w:line="240" w:lineRule="auto"/>
              <w:rPr>
                <w:rFonts w:ascii="Arial" w:eastAsia="Times New Roman" w:hAnsi="Arial" w:cs="Arial"/>
                <w:color w:val="000000"/>
                <w:sz w:val="20"/>
                <w:szCs w:val="20"/>
              </w:rPr>
            </w:pPr>
            <w:r w:rsidRPr="006F40CB">
              <w:rPr>
                <w:rFonts w:ascii="Arial" w:eastAsia="Times New Roman" w:hAnsi="Arial" w:cs="Arial"/>
                <w:color w:val="000000"/>
                <w:sz w:val="20"/>
                <w:szCs w:val="20"/>
              </w:rPr>
              <w:t>NOX</w:t>
            </w:r>
          </w:p>
        </w:tc>
        <w:tc>
          <w:tcPr>
            <w:tcW w:w="900" w:type="dxa"/>
            <w:tcBorders>
              <w:top w:val="nil"/>
              <w:left w:val="nil"/>
              <w:bottom w:val="single" w:sz="4" w:space="0" w:color="auto"/>
              <w:right w:val="nil"/>
            </w:tcBorders>
            <w:shd w:val="clear" w:color="auto" w:fill="auto"/>
            <w:noWrap/>
            <w:vAlign w:val="bottom"/>
            <w:hideMark/>
          </w:tcPr>
          <w:p w14:paraId="01C8332D" w14:textId="77777777" w:rsidR="006F40CB" w:rsidRPr="006F40CB" w:rsidRDefault="006F40CB" w:rsidP="006F40CB">
            <w:pPr>
              <w:spacing w:after="0" w:line="240" w:lineRule="auto"/>
              <w:rPr>
                <w:rFonts w:ascii="Arial" w:eastAsia="Times New Roman" w:hAnsi="Arial" w:cs="Arial"/>
                <w:color w:val="000000"/>
                <w:sz w:val="20"/>
                <w:szCs w:val="20"/>
              </w:rPr>
            </w:pPr>
            <w:r w:rsidRPr="006F40CB">
              <w:rPr>
                <w:rFonts w:ascii="Arial" w:eastAsia="Times New Roman" w:hAnsi="Arial" w:cs="Arial"/>
                <w:color w:val="000000"/>
                <w:sz w:val="20"/>
                <w:szCs w:val="20"/>
              </w:rPr>
              <w:t>PM2.5</w:t>
            </w:r>
          </w:p>
        </w:tc>
        <w:tc>
          <w:tcPr>
            <w:tcW w:w="990" w:type="dxa"/>
            <w:tcBorders>
              <w:top w:val="nil"/>
              <w:left w:val="nil"/>
              <w:bottom w:val="single" w:sz="4" w:space="0" w:color="auto"/>
              <w:right w:val="nil"/>
            </w:tcBorders>
            <w:shd w:val="clear" w:color="auto" w:fill="auto"/>
            <w:noWrap/>
            <w:vAlign w:val="bottom"/>
            <w:hideMark/>
          </w:tcPr>
          <w:p w14:paraId="785FF6DF" w14:textId="77777777" w:rsidR="006F40CB" w:rsidRPr="006F40CB" w:rsidRDefault="006F40CB" w:rsidP="006F40CB">
            <w:pPr>
              <w:spacing w:after="0" w:line="240" w:lineRule="auto"/>
              <w:rPr>
                <w:rFonts w:ascii="Arial" w:eastAsia="Times New Roman" w:hAnsi="Arial" w:cs="Arial"/>
                <w:color w:val="000000"/>
                <w:sz w:val="20"/>
                <w:szCs w:val="20"/>
              </w:rPr>
            </w:pPr>
            <w:r w:rsidRPr="006F40CB">
              <w:rPr>
                <w:rFonts w:ascii="Arial" w:eastAsia="Times New Roman" w:hAnsi="Arial" w:cs="Arial"/>
                <w:color w:val="000000"/>
                <w:sz w:val="20"/>
                <w:szCs w:val="20"/>
              </w:rPr>
              <w:t>PMC</w:t>
            </w:r>
          </w:p>
        </w:tc>
        <w:tc>
          <w:tcPr>
            <w:tcW w:w="900" w:type="dxa"/>
            <w:tcBorders>
              <w:top w:val="nil"/>
              <w:left w:val="nil"/>
              <w:bottom w:val="single" w:sz="4" w:space="0" w:color="auto"/>
              <w:right w:val="nil"/>
            </w:tcBorders>
            <w:shd w:val="clear" w:color="auto" w:fill="auto"/>
            <w:noWrap/>
            <w:vAlign w:val="bottom"/>
            <w:hideMark/>
          </w:tcPr>
          <w:p w14:paraId="148ECBB1" w14:textId="77777777" w:rsidR="006F40CB" w:rsidRPr="006F40CB" w:rsidRDefault="006F40CB" w:rsidP="006F40CB">
            <w:pPr>
              <w:spacing w:after="0" w:line="240" w:lineRule="auto"/>
              <w:rPr>
                <w:rFonts w:ascii="Arial" w:eastAsia="Times New Roman" w:hAnsi="Arial" w:cs="Arial"/>
                <w:color w:val="000000"/>
                <w:sz w:val="20"/>
                <w:szCs w:val="20"/>
              </w:rPr>
            </w:pPr>
            <w:r w:rsidRPr="006F40CB">
              <w:rPr>
                <w:rFonts w:ascii="Arial" w:eastAsia="Times New Roman" w:hAnsi="Arial" w:cs="Arial"/>
                <w:color w:val="000000"/>
                <w:sz w:val="20"/>
                <w:szCs w:val="20"/>
              </w:rPr>
              <w:t>SO2</w:t>
            </w:r>
          </w:p>
        </w:tc>
        <w:tc>
          <w:tcPr>
            <w:tcW w:w="990" w:type="dxa"/>
            <w:tcBorders>
              <w:top w:val="nil"/>
              <w:left w:val="nil"/>
              <w:bottom w:val="single" w:sz="4" w:space="0" w:color="auto"/>
              <w:right w:val="nil"/>
            </w:tcBorders>
            <w:shd w:val="clear" w:color="auto" w:fill="auto"/>
            <w:noWrap/>
            <w:vAlign w:val="bottom"/>
            <w:hideMark/>
          </w:tcPr>
          <w:p w14:paraId="45290776" w14:textId="77777777" w:rsidR="006F40CB" w:rsidRPr="006F40CB" w:rsidRDefault="006F40CB" w:rsidP="006F40CB">
            <w:pPr>
              <w:spacing w:after="0" w:line="240" w:lineRule="auto"/>
              <w:rPr>
                <w:rFonts w:ascii="Arial" w:eastAsia="Times New Roman" w:hAnsi="Arial" w:cs="Arial"/>
                <w:color w:val="000000"/>
                <w:sz w:val="20"/>
                <w:szCs w:val="20"/>
              </w:rPr>
            </w:pPr>
            <w:r w:rsidRPr="006F40CB">
              <w:rPr>
                <w:rFonts w:ascii="Arial" w:eastAsia="Times New Roman" w:hAnsi="Arial" w:cs="Arial"/>
                <w:color w:val="000000"/>
                <w:sz w:val="20"/>
                <w:szCs w:val="20"/>
              </w:rPr>
              <w:t>VOC</w:t>
            </w:r>
          </w:p>
        </w:tc>
      </w:tr>
      <w:tr w:rsidR="006F40CB" w:rsidRPr="006F40CB" w14:paraId="57525F4C" w14:textId="77777777" w:rsidTr="006F40CB">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500CDEB0" w14:textId="77777777" w:rsidR="006F40CB" w:rsidRPr="006F40CB" w:rsidRDefault="006F40CB" w:rsidP="006F40CB">
            <w:pPr>
              <w:spacing w:after="0" w:line="240" w:lineRule="auto"/>
              <w:rPr>
                <w:rFonts w:ascii="Arial" w:eastAsia="Times New Roman" w:hAnsi="Arial" w:cs="Arial"/>
                <w:color w:val="000000"/>
                <w:sz w:val="20"/>
                <w:szCs w:val="20"/>
              </w:rPr>
            </w:pPr>
            <w:proofErr w:type="spellStart"/>
            <w:r w:rsidRPr="006F40CB">
              <w:rPr>
                <w:rFonts w:ascii="Arial" w:eastAsia="Times New Roman" w:hAnsi="Arial" w:cs="Arial"/>
                <w:color w:val="000000"/>
                <w:sz w:val="20"/>
                <w:szCs w:val="20"/>
              </w:rPr>
              <w:t>ptegu</w:t>
            </w:r>
            <w:proofErr w:type="spellEnd"/>
          </w:p>
        </w:tc>
        <w:tc>
          <w:tcPr>
            <w:tcW w:w="141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18C7F73B" w14:textId="77777777" w:rsidR="006F40CB" w:rsidRPr="006F40CB" w:rsidRDefault="006F40CB" w:rsidP="006F40CB">
            <w:pPr>
              <w:spacing w:after="0" w:line="240" w:lineRule="auto"/>
              <w:rPr>
                <w:rFonts w:ascii="Arial" w:eastAsia="Times New Roman" w:hAnsi="Arial" w:cs="Arial"/>
                <w:color w:val="000000"/>
                <w:sz w:val="20"/>
                <w:szCs w:val="20"/>
              </w:rPr>
            </w:pPr>
            <w:r w:rsidRPr="006F40CB">
              <w:rPr>
                <w:rFonts w:ascii="Arial" w:eastAsia="Times New Roman" w:hAnsi="Arial" w:cs="Arial"/>
                <w:color w:val="000000"/>
                <w:sz w:val="20"/>
                <w:szCs w:val="20"/>
              </w:rPr>
              <w:t>Montana</w:t>
            </w:r>
          </w:p>
        </w:tc>
        <w:tc>
          <w:tcPr>
            <w:tcW w:w="99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4A645E7C"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0</w:t>
            </w:r>
          </w:p>
        </w:tc>
        <w:tc>
          <w:tcPr>
            <w:tcW w:w="81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0789A2E7"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463B21F4"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5</w:t>
            </w:r>
          </w:p>
        </w:tc>
        <w:tc>
          <w:tcPr>
            <w:tcW w:w="90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659263A8"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1</w:t>
            </w:r>
          </w:p>
        </w:tc>
        <w:tc>
          <w:tcPr>
            <w:tcW w:w="99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3C0611F4"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4FEB8306"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190E5EAA"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0</w:t>
            </w:r>
          </w:p>
        </w:tc>
      </w:tr>
      <w:tr w:rsidR="006F40CB" w:rsidRPr="006F40CB" w14:paraId="688B6AB7" w14:textId="77777777" w:rsidTr="006F40CB">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0E1EC1A7" w14:textId="77777777" w:rsidR="006F40CB" w:rsidRPr="006F40CB" w:rsidRDefault="006F40CB" w:rsidP="006F40CB">
            <w:pPr>
              <w:spacing w:after="0" w:line="240" w:lineRule="auto"/>
              <w:rPr>
                <w:rFonts w:ascii="Arial" w:eastAsia="Times New Roman" w:hAnsi="Arial" w:cs="Arial"/>
                <w:color w:val="000000"/>
                <w:sz w:val="20"/>
                <w:szCs w:val="20"/>
              </w:rPr>
            </w:pPr>
            <w:proofErr w:type="spellStart"/>
            <w:r w:rsidRPr="006F40CB">
              <w:rPr>
                <w:rFonts w:ascii="Arial" w:eastAsia="Times New Roman" w:hAnsi="Arial" w:cs="Arial"/>
                <w:color w:val="000000"/>
                <w:sz w:val="20"/>
                <w:szCs w:val="20"/>
              </w:rPr>
              <w:t>ptegu</w:t>
            </w:r>
            <w:proofErr w:type="spellEnd"/>
          </w:p>
        </w:tc>
        <w:tc>
          <w:tcPr>
            <w:tcW w:w="141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4CF7CB61" w14:textId="77777777" w:rsidR="006F40CB" w:rsidRPr="006F40CB" w:rsidRDefault="006F40CB" w:rsidP="006F40CB">
            <w:pPr>
              <w:spacing w:after="0" w:line="240" w:lineRule="auto"/>
              <w:rPr>
                <w:rFonts w:ascii="Arial" w:eastAsia="Times New Roman" w:hAnsi="Arial" w:cs="Arial"/>
                <w:color w:val="000000"/>
                <w:sz w:val="20"/>
                <w:szCs w:val="20"/>
              </w:rPr>
            </w:pPr>
            <w:r w:rsidRPr="006F40CB">
              <w:rPr>
                <w:rFonts w:ascii="Arial" w:eastAsia="Times New Roman" w:hAnsi="Arial" w:cs="Arial"/>
                <w:color w:val="000000"/>
                <w:sz w:val="20"/>
                <w:szCs w:val="20"/>
              </w:rPr>
              <w:t>Arizona</w:t>
            </w:r>
          </w:p>
        </w:tc>
        <w:tc>
          <w:tcPr>
            <w:tcW w:w="99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59422C6B"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206</w:t>
            </w:r>
          </w:p>
        </w:tc>
        <w:tc>
          <w:tcPr>
            <w:tcW w:w="81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5AAED917"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00CB277E"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1,332</w:t>
            </w:r>
          </w:p>
        </w:tc>
        <w:tc>
          <w:tcPr>
            <w:tcW w:w="90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0CB6C1FA"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90</w:t>
            </w:r>
          </w:p>
        </w:tc>
        <w:tc>
          <w:tcPr>
            <w:tcW w:w="99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5A3C45F2"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55544E1C"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1,092</w:t>
            </w:r>
          </w:p>
        </w:tc>
        <w:tc>
          <w:tcPr>
            <w:tcW w:w="99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1E456DA1"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24</w:t>
            </w:r>
          </w:p>
        </w:tc>
      </w:tr>
      <w:tr w:rsidR="006F40CB" w:rsidRPr="006F40CB" w14:paraId="41E502F6" w14:textId="77777777" w:rsidTr="006F40CB">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4789D548" w14:textId="77777777" w:rsidR="006F40CB" w:rsidRPr="006F40CB" w:rsidRDefault="006F40CB" w:rsidP="006F40CB">
            <w:pPr>
              <w:spacing w:after="0" w:line="240" w:lineRule="auto"/>
              <w:rPr>
                <w:rFonts w:ascii="Arial" w:eastAsia="Times New Roman" w:hAnsi="Arial" w:cs="Arial"/>
                <w:color w:val="000000"/>
                <w:sz w:val="20"/>
                <w:szCs w:val="20"/>
              </w:rPr>
            </w:pPr>
            <w:proofErr w:type="spellStart"/>
            <w:r w:rsidRPr="006F40CB">
              <w:rPr>
                <w:rFonts w:ascii="Arial" w:eastAsia="Times New Roman" w:hAnsi="Arial" w:cs="Arial"/>
                <w:color w:val="000000"/>
                <w:sz w:val="20"/>
                <w:szCs w:val="20"/>
              </w:rPr>
              <w:t>ptnonipm</w:t>
            </w:r>
            <w:proofErr w:type="spellEnd"/>
          </w:p>
        </w:tc>
        <w:tc>
          <w:tcPr>
            <w:tcW w:w="141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0DC80D17" w14:textId="77777777" w:rsidR="006F40CB" w:rsidRPr="006F40CB" w:rsidRDefault="006F40CB" w:rsidP="006F40CB">
            <w:pPr>
              <w:spacing w:after="0" w:line="240" w:lineRule="auto"/>
              <w:rPr>
                <w:rFonts w:ascii="Arial" w:eastAsia="Times New Roman" w:hAnsi="Arial" w:cs="Arial"/>
                <w:color w:val="000000"/>
                <w:sz w:val="20"/>
                <w:szCs w:val="20"/>
              </w:rPr>
            </w:pPr>
            <w:r w:rsidRPr="006F40CB">
              <w:rPr>
                <w:rFonts w:ascii="Arial" w:eastAsia="Times New Roman" w:hAnsi="Arial" w:cs="Arial"/>
                <w:color w:val="000000"/>
                <w:sz w:val="20"/>
                <w:szCs w:val="20"/>
              </w:rPr>
              <w:t>Montana</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4EAAEE57"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0</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0E866849"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555B627A"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2,524</w:t>
            </w:r>
          </w:p>
        </w:tc>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2DDDD7BC"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428</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32AA12FA"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1,909</w:t>
            </w:r>
          </w:p>
        </w:tc>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41A6C5D4"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36003B05"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0</w:t>
            </w:r>
          </w:p>
        </w:tc>
      </w:tr>
      <w:tr w:rsidR="006F40CB" w:rsidRPr="006F40CB" w14:paraId="634CE346" w14:textId="77777777" w:rsidTr="006F40CB">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09AF7089" w14:textId="77777777" w:rsidR="006F40CB" w:rsidRPr="006F40CB" w:rsidRDefault="006F40CB" w:rsidP="006F40CB">
            <w:pPr>
              <w:spacing w:after="0" w:line="240" w:lineRule="auto"/>
              <w:rPr>
                <w:rFonts w:ascii="Arial" w:eastAsia="Times New Roman" w:hAnsi="Arial" w:cs="Arial"/>
                <w:color w:val="000000"/>
                <w:sz w:val="20"/>
                <w:szCs w:val="20"/>
              </w:rPr>
            </w:pPr>
            <w:proofErr w:type="spellStart"/>
            <w:r w:rsidRPr="006F40CB">
              <w:rPr>
                <w:rFonts w:ascii="Arial" w:eastAsia="Times New Roman" w:hAnsi="Arial" w:cs="Arial"/>
                <w:color w:val="000000"/>
                <w:sz w:val="20"/>
                <w:szCs w:val="20"/>
              </w:rPr>
              <w:t>ptnonipm</w:t>
            </w:r>
            <w:proofErr w:type="spellEnd"/>
          </w:p>
        </w:tc>
        <w:tc>
          <w:tcPr>
            <w:tcW w:w="141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2A7CF117" w14:textId="77777777" w:rsidR="006F40CB" w:rsidRPr="006F40CB" w:rsidRDefault="006F40CB" w:rsidP="006F40CB">
            <w:pPr>
              <w:spacing w:after="0" w:line="240" w:lineRule="auto"/>
              <w:rPr>
                <w:rFonts w:ascii="Arial" w:eastAsia="Times New Roman" w:hAnsi="Arial" w:cs="Arial"/>
                <w:color w:val="000000"/>
                <w:sz w:val="20"/>
                <w:szCs w:val="20"/>
              </w:rPr>
            </w:pPr>
            <w:r w:rsidRPr="006F40CB">
              <w:rPr>
                <w:rFonts w:ascii="Arial" w:eastAsia="Times New Roman" w:hAnsi="Arial" w:cs="Arial"/>
                <w:color w:val="000000"/>
                <w:sz w:val="20"/>
                <w:szCs w:val="20"/>
              </w:rPr>
              <w:t>Arizona</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1639D779"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554</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440C07CF"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1C947BA6"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186</w:t>
            </w:r>
          </w:p>
        </w:tc>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075854EB"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474</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62BE6508"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1,876</w:t>
            </w:r>
          </w:p>
        </w:tc>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3D36BD72"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42</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780E9A93"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110</w:t>
            </w:r>
          </w:p>
        </w:tc>
      </w:tr>
      <w:tr w:rsidR="006F40CB" w:rsidRPr="006F40CB" w14:paraId="42AF5A3D" w14:textId="77777777" w:rsidTr="006F40CB">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17B7E799" w14:textId="77777777" w:rsidR="006F40CB" w:rsidRPr="006F40CB" w:rsidRDefault="006F40CB" w:rsidP="006F40CB">
            <w:pPr>
              <w:spacing w:after="0" w:line="240" w:lineRule="auto"/>
              <w:rPr>
                <w:rFonts w:ascii="Arial" w:eastAsia="Times New Roman" w:hAnsi="Arial" w:cs="Arial"/>
                <w:color w:val="000000"/>
                <w:sz w:val="20"/>
                <w:szCs w:val="20"/>
              </w:rPr>
            </w:pPr>
            <w:proofErr w:type="spellStart"/>
            <w:r w:rsidRPr="006F40CB">
              <w:rPr>
                <w:rFonts w:ascii="Arial" w:eastAsia="Times New Roman" w:hAnsi="Arial" w:cs="Arial"/>
                <w:color w:val="000000"/>
                <w:sz w:val="20"/>
                <w:szCs w:val="20"/>
              </w:rPr>
              <w:t>ptnonipm</w:t>
            </w:r>
            <w:proofErr w:type="spellEnd"/>
          </w:p>
        </w:tc>
        <w:tc>
          <w:tcPr>
            <w:tcW w:w="141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053C9308" w14:textId="77777777" w:rsidR="006F40CB" w:rsidRPr="006F40CB" w:rsidRDefault="006F40CB" w:rsidP="006F40CB">
            <w:pPr>
              <w:spacing w:after="0" w:line="240" w:lineRule="auto"/>
              <w:rPr>
                <w:rFonts w:ascii="Arial" w:eastAsia="Times New Roman" w:hAnsi="Arial" w:cs="Arial"/>
                <w:color w:val="000000"/>
                <w:sz w:val="20"/>
                <w:szCs w:val="20"/>
              </w:rPr>
            </w:pPr>
            <w:r w:rsidRPr="006F40CB">
              <w:rPr>
                <w:rFonts w:ascii="Arial" w:eastAsia="Times New Roman" w:hAnsi="Arial" w:cs="Arial"/>
                <w:color w:val="000000"/>
                <w:sz w:val="20"/>
                <w:szCs w:val="20"/>
              </w:rPr>
              <w:t>North Dakota</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7FE14117"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2,231</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7F8B0F7B"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971</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14DDD2E7"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3,235</w:t>
            </w:r>
          </w:p>
        </w:tc>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1CF0AD14"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830</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582CA4D7"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106</w:t>
            </w:r>
          </w:p>
        </w:tc>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43BCBE5F"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3,818</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3AE01C6D"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862</w:t>
            </w:r>
          </w:p>
        </w:tc>
      </w:tr>
      <w:tr w:rsidR="006F40CB" w:rsidRPr="006F40CB" w14:paraId="14F1DBE2" w14:textId="77777777" w:rsidTr="006F40CB">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5C25AB6D" w14:textId="77777777" w:rsidR="006F40CB" w:rsidRPr="006F40CB" w:rsidRDefault="006F40CB" w:rsidP="006F40CB">
            <w:pPr>
              <w:spacing w:after="0" w:line="240" w:lineRule="auto"/>
              <w:rPr>
                <w:rFonts w:ascii="Arial" w:eastAsia="Times New Roman" w:hAnsi="Arial" w:cs="Arial"/>
                <w:color w:val="000000"/>
                <w:sz w:val="20"/>
                <w:szCs w:val="20"/>
              </w:rPr>
            </w:pPr>
            <w:proofErr w:type="spellStart"/>
            <w:r w:rsidRPr="006F40CB">
              <w:rPr>
                <w:rFonts w:ascii="Arial" w:eastAsia="Times New Roman" w:hAnsi="Arial" w:cs="Arial"/>
                <w:color w:val="000000"/>
                <w:sz w:val="20"/>
                <w:szCs w:val="20"/>
              </w:rPr>
              <w:t>np_oilgas</w:t>
            </w:r>
            <w:proofErr w:type="spellEnd"/>
          </w:p>
        </w:tc>
        <w:tc>
          <w:tcPr>
            <w:tcW w:w="141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2C2E6990" w14:textId="77777777" w:rsidR="006F40CB" w:rsidRPr="006F40CB" w:rsidRDefault="006F40CB" w:rsidP="006F40CB">
            <w:pPr>
              <w:spacing w:after="0" w:line="240" w:lineRule="auto"/>
              <w:rPr>
                <w:rFonts w:ascii="Arial" w:eastAsia="Times New Roman" w:hAnsi="Arial" w:cs="Arial"/>
                <w:color w:val="000000"/>
                <w:sz w:val="20"/>
                <w:szCs w:val="20"/>
              </w:rPr>
            </w:pPr>
            <w:r w:rsidRPr="006F40CB">
              <w:rPr>
                <w:rFonts w:ascii="Arial" w:eastAsia="Times New Roman" w:hAnsi="Arial" w:cs="Arial"/>
                <w:color w:val="000000"/>
                <w:sz w:val="20"/>
                <w:szCs w:val="20"/>
              </w:rPr>
              <w:t>Montana</w:t>
            </w:r>
          </w:p>
        </w:tc>
        <w:tc>
          <w:tcPr>
            <w:tcW w:w="99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0B94818C"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220</w:t>
            </w:r>
          </w:p>
        </w:tc>
        <w:tc>
          <w:tcPr>
            <w:tcW w:w="81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5B3A8F3B"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7095AD30"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-94</w:t>
            </w:r>
          </w:p>
        </w:tc>
        <w:tc>
          <w:tcPr>
            <w:tcW w:w="90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3921F3B6"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-3</w:t>
            </w:r>
          </w:p>
        </w:tc>
        <w:tc>
          <w:tcPr>
            <w:tcW w:w="99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668F6EE6"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-2</w:t>
            </w:r>
          </w:p>
        </w:tc>
        <w:tc>
          <w:tcPr>
            <w:tcW w:w="90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279E48F8"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7E621CA5"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158</w:t>
            </w:r>
          </w:p>
        </w:tc>
      </w:tr>
      <w:tr w:rsidR="006F40CB" w:rsidRPr="006F40CB" w14:paraId="7AF71069" w14:textId="77777777" w:rsidTr="006F40CB">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1D8D1CFC" w14:textId="77777777" w:rsidR="006F40CB" w:rsidRPr="006F40CB" w:rsidRDefault="006F40CB" w:rsidP="006F40CB">
            <w:pPr>
              <w:spacing w:after="0" w:line="240" w:lineRule="auto"/>
              <w:rPr>
                <w:rFonts w:ascii="Arial" w:eastAsia="Times New Roman" w:hAnsi="Arial" w:cs="Arial"/>
                <w:color w:val="000000"/>
                <w:sz w:val="20"/>
                <w:szCs w:val="20"/>
              </w:rPr>
            </w:pPr>
            <w:proofErr w:type="spellStart"/>
            <w:r w:rsidRPr="006F40CB">
              <w:rPr>
                <w:rFonts w:ascii="Arial" w:eastAsia="Times New Roman" w:hAnsi="Arial" w:cs="Arial"/>
                <w:color w:val="000000"/>
                <w:sz w:val="20"/>
                <w:szCs w:val="20"/>
              </w:rPr>
              <w:t>np_oilgas</w:t>
            </w:r>
            <w:proofErr w:type="spellEnd"/>
          </w:p>
        </w:tc>
        <w:tc>
          <w:tcPr>
            <w:tcW w:w="141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499DA5A5" w14:textId="77777777" w:rsidR="006F40CB" w:rsidRPr="006F40CB" w:rsidRDefault="006F40CB" w:rsidP="006F40CB">
            <w:pPr>
              <w:spacing w:after="0" w:line="240" w:lineRule="auto"/>
              <w:rPr>
                <w:rFonts w:ascii="Arial" w:eastAsia="Times New Roman" w:hAnsi="Arial" w:cs="Arial"/>
                <w:color w:val="000000"/>
                <w:sz w:val="20"/>
                <w:szCs w:val="20"/>
              </w:rPr>
            </w:pPr>
            <w:r w:rsidRPr="006F40CB">
              <w:rPr>
                <w:rFonts w:ascii="Arial" w:eastAsia="Times New Roman" w:hAnsi="Arial" w:cs="Arial"/>
                <w:color w:val="000000"/>
                <w:sz w:val="20"/>
                <w:szCs w:val="20"/>
              </w:rPr>
              <w:t>New Mexico</w:t>
            </w:r>
          </w:p>
        </w:tc>
        <w:tc>
          <w:tcPr>
            <w:tcW w:w="99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3FE88A53"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27,578</w:t>
            </w:r>
          </w:p>
        </w:tc>
        <w:tc>
          <w:tcPr>
            <w:tcW w:w="81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570F74C2"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06FF11D1"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8,238</w:t>
            </w:r>
          </w:p>
        </w:tc>
        <w:tc>
          <w:tcPr>
            <w:tcW w:w="90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025B4284"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804</w:t>
            </w:r>
          </w:p>
        </w:tc>
        <w:tc>
          <w:tcPr>
            <w:tcW w:w="99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02136F4A"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-5</w:t>
            </w:r>
          </w:p>
        </w:tc>
        <w:tc>
          <w:tcPr>
            <w:tcW w:w="90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3EA1193E"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3,056</w:t>
            </w:r>
          </w:p>
        </w:tc>
        <w:tc>
          <w:tcPr>
            <w:tcW w:w="99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45522234"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19,886</w:t>
            </w:r>
          </w:p>
        </w:tc>
      </w:tr>
      <w:tr w:rsidR="006F40CB" w:rsidRPr="006F40CB" w14:paraId="5BB15251" w14:textId="77777777" w:rsidTr="006F40CB">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733D7F15" w14:textId="77777777" w:rsidR="006F40CB" w:rsidRPr="006F40CB" w:rsidRDefault="006F40CB" w:rsidP="006F40CB">
            <w:pPr>
              <w:spacing w:after="0" w:line="240" w:lineRule="auto"/>
              <w:rPr>
                <w:rFonts w:ascii="Arial" w:eastAsia="Times New Roman" w:hAnsi="Arial" w:cs="Arial"/>
                <w:color w:val="000000"/>
                <w:sz w:val="20"/>
                <w:szCs w:val="20"/>
              </w:rPr>
            </w:pPr>
            <w:proofErr w:type="spellStart"/>
            <w:r w:rsidRPr="006F40CB">
              <w:rPr>
                <w:rFonts w:ascii="Arial" w:eastAsia="Times New Roman" w:hAnsi="Arial" w:cs="Arial"/>
                <w:color w:val="000000"/>
                <w:sz w:val="20"/>
                <w:szCs w:val="20"/>
              </w:rPr>
              <w:t>np_oilgas</w:t>
            </w:r>
            <w:proofErr w:type="spellEnd"/>
          </w:p>
        </w:tc>
        <w:tc>
          <w:tcPr>
            <w:tcW w:w="141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19413B0C" w14:textId="77777777" w:rsidR="006F40CB" w:rsidRPr="006F40CB" w:rsidRDefault="006F40CB" w:rsidP="006F40CB">
            <w:pPr>
              <w:spacing w:after="0" w:line="240" w:lineRule="auto"/>
              <w:rPr>
                <w:rFonts w:ascii="Arial" w:eastAsia="Times New Roman" w:hAnsi="Arial" w:cs="Arial"/>
                <w:color w:val="000000"/>
                <w:sz w:val="20"/>
                <w:szCs w:val="20"/>
              </w:rPr>
            </w:pPr>
            <w:r w:rsidRPr="006F40CB">
              <w:rPr>
                <w:rFonts w:ascii="Arial" w:eastAsia="Times New Roman" w:hAnsi="Arial" w:cs="Arial"/>
                <w:color w:val="000000"/>
                <w:sz w:val="20"/>
                <w:szCs w:val="20"/>
              </w:rPr>
              <w:t>North Dakota</w:t>
            </w:r>
          </w:p>
        </w:tc>
        <w:tc>
          <w:tcPr>
            <w:tcW w:w="99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7682FCEB"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3,743</w:t>
            </w:r>
          </w:p>
        </w:tc>
        <w:tc>
          <w:tcPr>
            <w:tcW w:w="81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1A2DC11A"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6855D47D"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1,056</w:t>
            </w:r>
          </w:p>
        </w:tc>
        <w:tc>
          <w:tcPr>
            <w:tcW w:w="90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3FC5BBA4"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43</w:t>
            </w:r>
          </w:p>
        </w:tc>
        <w:tc>
          <w:tcPr>
            <w:tcW w:w="99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1FBC6290"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-29</w:t>
            </w:r>
          </w:p>
        </w:tc>
        <w:tc>
          <w:tcPr>
            <w:tcW w:w="90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191DFBF1"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2E5706EC"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2,765</w:t>
            </w:r>
          </w:p>
        </w:tc>
      </w:tr>
      <w:tr w:rsidR="006F40CB" w:rsidRPr="006F40CB" w14:paraId="6C2CF9EB" w14:textId="77777777" w:rsidTr="006F40CB">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3CAFCB50" w14:textId="77777777" w:rsidR="006F40CB" w:rsidRPr="006F40CB" w:rsidRDefault="006F40CB" w:rsidP="006F40CB">
            <w:pPr>
              <w:spacing w:after="0" w:line="240" w:lineRule="auto"/>
              <w:rPr>
                <w:rFonts w:ascii="Arial" w:eastAsia="Times New Roman" w:hAnsi="Arial" w:cs="Arial"/>
                <w:color w:val="000000"/>
                <w:sz w:val="20"/>
                <w:szCs w:val="20"/>
              </w:rPr>
            </w:pPr>
            <w:proofErr w:type="spellStart"/>
            <w:r w:rsidRPr="006F40CB">
              <w:rPr>
                <w:rFonts w:ascii="Arial" w:eastAsia="Times New Roman" w:hAnsi="Arial" w:cs="Arial"/>
                <w:color w:val="000000"/>
                <w:sz w:val="20"/>
                <w:szCs w:val="20"/>
              </w:rPr>
              <w:t>np_oilgas</w:t>
            </w:r>
            <w:proofErr w:type="spellEnd"/>
          </w:p>
        </w:tc>
        <w:tc>
          <w:tcPr>
            <w:tcW w:w="141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3F178664" w14:textId="77777777" w:rsidR="006F40CB" w:rsidRPr="006F40CB" w:rsidRDefault="006F40CB" w:rsidP="006F40CB">
            <w:pPr>
              <w:spacing w:after="0" w:line="240" w:lineRule="auto"/>
              <w:rPr>
                <w:rFonts w:ascii="Arial" w:eastAsia="Times New Roman" w:hAnsi="Arial" w:cs="Arial"/>
                <w:color w:val="000000"/>
                <w:sz w:val="20"/>
                <w:szCs w:val="20"/>
              </w:rPr>
            </w:pPr>
            <w:r w:rsidRPr="006F40CB">
              <w:rPr>
                <w:rFonts w:ascii="Arial" w:eastAsia="Times New Roman" w:hAnsi="Arial" w:cs="Arial"/>
                <w:color w:val="000000"/>
                <w:sz w:val="20"/>
                <w:szCs w:val="20"/>
              </w:rPr>
              <w:t>Utah</w:t>
            </w:r>
          </w:p>
        </w:tc>
        <w:tc>
          <w:tcPr>
            <w:tcW w:w="99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048B8B5D"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-11,937</w:t>
            </w:r>
          </w:p>
        </w:tc>
        <w:tc>
          <w:tcPr>
            <w:tcW w:w="81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786E2AE0"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356FC724"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-13,497</w:t>
            </w:r>
          </w:p>
        </w:tc>
        <w:tc>
          <w:tcPr>
            <w:tcW w:w="90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1C377BFC"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-567</w:t>
            </w:r>
          </w:p>
        </w:tc>
        <w:tc>
          <w:tcPr>
            <w:tcW w:w="99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179C261A"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-20</w:t>
            </w:r>
          </w:p>
        </w:tc>
        <w:tc>
          <w:tcPr>
            <w:tcW w:w="90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5C6E65B9"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-49</w:t>
            </w:r>
          </w:p>
        </w:tc>
        <w:tc>
          <w:tcPr>
            <w:tcW w:w="99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12413F7B"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-84,128</w:t>
            </w:r>
          </w:p>
        </w:tc>
      </w:tr>
      <w:tr w:rsidR="006F40CB" w:rsidRPr="006F40CB" w14:paraId="5E422CBB" w14:textId="77777777" w:rsidTr="006F40CB">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147C9AF8" w14:textId="77777777" w:rsidR="006F40CB" w:rsidRPr="006F40CB" w:rsidRDefault="006F40CB" w:rsidP="006F40CB">
            <w:pPr>
              <w:spacing w:after="0" w:line="240" w:lineRule="auto"/>
              <w:rPr>
                <w:rFonts w:ascii="Arial" w:eastAsia="Times New Roman" w:hAnsi="Arial" w:cs="Arial"/>
                <w:color w:val="000000"/>
                <w:sz w:val="20"/>
                <w:szCs w:val="20"/>
              </w:rPr>
            </w:pPr>
            <w:proofErr w:type="spellStart"/>
            <w:r w:rsidRPr="006F40CB">
              <w:rPr>
                <w:rFonts w:ascii="Arial" w:eastAsia="Times New Roman" w:hAnsi="Arial" w:cs="Arial"/>
                <w:color w:val="000000"/>
                <w:sz w:val="20"/>
                <w:szCs w:val="20"/>
              </w:rPr>
              <w:t>np_oilgas</w:t>
            </w:r>
            <w:proofErr w:type="spellEnd"/>
          </w:p>
        </w:tc>
        <w:tc>
          <w:tcPr>
            <w:tcW w:w="141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0B51D378" w14:textId="77777777" w:rsidR="006F40CB" w:rsidRPr="006F40CB" w:rsidRDefault="006F40CB" w:rsidP="006F40CB">
            <w:pPr>
              <w:spacing w:after="0" w:line="240" w:lineRule="auto"/>
              <w:rPr>
                <w:rFonts w:ascii="Arial" w:eastAsia="Times New Roman" w:hAnsi="Arial" w:cs="Arial"/>
                <w:color w:val="000000"/>
                <w:sz w:val="20"/>
                <w:szCs w:val="20"/>
              </w:rPr>
            </w:pPr>
            <w:r w:rsidRPr="006F40CB">
              <w:rPr>
                <w:rFonts w:ascii="Arial" w:eastAsia="Times New Roman" w:hAnsi="Arial" w:cs="Arial"/>
                <w:color w:val="000000"/>
                <w:sz w:val="20"/>
                <w:szCs w:val="20"/>
              </w:rPr>
              <w:t>Wyoming</w:t>
            </w:r>
          </w:p>
        </w:tc>
        <w:tc>
          <w:tcPr>
            <w:tcW w:w="99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5D2A5EFC"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-6</w:t>
            </w:r>
          </w:p>
        </w:tc>
        <w:tc>
          <w:tcPr>
            <w:tcW w:w="81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3D8AD2D2"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11C6A400"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10,689</w:t>
            </w:r>
          </w:p>
        </w:tc>
        <w:tc>
          <w:tcPr>
            <w:tcW w:w="90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0C8E4216"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-106</w:t>
            </w:r>
          </w:p>
        </w:tc>
        <w:tc>
          <w:tcPr>
            <w:tcW w:w="99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4889EE4E"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-93</w:t>
            </w:r>
          </w:p>
        </w:tc>
        <w:tc>
          <w:tcPr>
            <w:tcW w:w="90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6E87F588"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-674</w:t>
            </w:r>
          </w:p>
        </w:tc>
        <w:tc>
          <w:tcPr>
            <w:tcW w:w="99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70E36262"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40,034</w:t>
            </w:r>
          </w:p>
        </w:tc>
      </w:tr>
      <w:tr w:rsidR="006F40CB" w:rsidRPr="006F40CB" w14:paraId="2E816A50" w14:textId="77777777" w:rsidTr="006F40CB">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2BBAE7C3" w14:textId="77777777" w:rsidR="006F40CB" w:rsidRPr="006F40CB" w:rsidRDefault="006F40CB" w:rsidP="006F40CB">
            <w:pPr>
              <w:spacing w:after="0" w:line="240" w:lineRule="auto"/>
              <w:rPr>
                <w:rFonts w:ascii="Arial" w:eastAsia="Times New Roman" w:hAnsi="Arial" w:cs="Arial"/>
                <w:color w:val="000000"/>
                <w:sz w:val="20"/>
                <w:szCs w:val="20"/>
              </w:rPr>
            </w:pPr>
            <w:proofErr w:type="spellStart"/>
            <w:r w:rsidRPr="006F40CB">
              <w:rPr>
                <w:rFonts w:ascii="Arial" w:eastAsia="Times New Roman" w:hAnsi="Arial" w:cs="Arial"/>
                <w:color w:val="000000"/>
                <w:sz w:val="20"/>
                <w:szCs w:val="20"/>
              </w:rPr>
              <w:t>pt_oilgas</w:t>
            </w:r>
            <w:proofErr w:type="spellEnd"/>
          </w:p>
        </w:tc>
        <w:tc>
          <w:tcPr>
            <w:tcW w:w="141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3C59F7E9" w14:textId="77777777" w:rsidR="006F40CB" w:rsidRPr="006F40CB" w:rsidRDefault="006F40CB" w:rsidP="006F40CB">
            <w:pPr>
              <w:spacing w:after="0" w:line="240" w:lineRule="auto"/>
              <w:rPr>
                <w:rFonts w:ascii="Arial" w:eastAsia="Times New Roman" w:hAnsi="Arial" w:cs="Arial"/>
                <w:color w:val="000000"/>
                <w:sz w:val="20"/>
                <w:szCs w:val="20"/>
              </w:rPr>
            </w:pPr>
            <w:r w:rsidRPr="006F40CB">
              <w:rPr>
                <w:rFonts w:ascii="Arial" w:eastAsia="Times New Roman" w:hAnsi="Arial" w:cs="Arial"/>
                <w:color w:val="000000"/>
                <w:sz w:val="20"/>
                <w:szCs w:val="20"/>
              </w:rPr>
              <w:t>Montana</w:t>
            </w: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628877D7"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-27</w:t>
            </w:r>
          </w:p>
        </w:tc>
        <w:tc>
          <w:tcPr>
            <w:tcW w:w="81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286A56E9"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12950063"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195</w:t>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793CA456"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2679774C"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-52</w:t>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1CE2626C"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-4</w:t>
            </w: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33E68B79"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-127</w:t>
            </w:r>
          </w:p>
        </w:tc>
      </w:tr>
      <w:tr w:rsidR="006F40CB" w:rsidRPr="006F40CB" w14:paraId="6675B653" w14:textId="77777777" w:rsidTr="006F40CB">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35D8523C" w14:textId="77777777" w:rsidR="006F40CB" w:rsidRPr="006F40CB" w:rsidRDefault="006F40CB" w:rsidP="006F40CB">
            <w:pPr>
              <w:spacing w:after="0" w:line="240" w:lineRule="auto"/>
              <w:rPr>
                <w:rFonts w:ascii="Arial" w:eastAsia="Times New Roman" w:hAnsi="Arial" w:cs="Arial"/>
                <w:color w:val="000000"/>
                <w:sz w:val="20"/>
                <w:szCs w:val="20"/>
              </w:rPr>
            </w:pPr>
            <w:proofErr w:type="spellStart"/>
            <w:r w:rsidRPr="006F40CB">
              <w:rPr>
                <w:rFonts w:ascii="Arial" w:eastAsia="Times New Roman" w:hAnsi="Arial" w:cs="Arial"/>
                <w:color w:val="000000"/>
                <w:sz w:val="20"/>
                <w:szCs w:val="20"/>
              </w:rPr>
              <w:t>pt_oilgas</w:t>
            </w:r>
            <w:proofErr w:type="spellEnd"/>
          </w:p>
        </w:tc>
        <w:tc>
          <w:tcPr>
            <w:tcW w:w="141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46D7931A" w14:textId="77777777" w:rsidR="006F40CB" w:rsidRPr="006F40CB" w:rsidRDefault="006F40CB" w:rsidP="006F40CB">
            <w:pPr>
              <w:spacing w:after="0" w:line="240" w:lineRule="auto"/>
              <w:rPr>
                <w:rFonts w:ascii="Arial" w:eastAsia="Times New Roman" w:hAnsi="Arial" w:cs="Arial"/>
                <w:color w:val="000000"/>
                <w:sz w:val="20"/>
                <w:szCs w:val="20"/>
              </w:rPr>
            </w:pPr>
            <w:r w:rsidRPr="006F40CB">
              <w:rPr>
                <w:rFonts w:ascii="Arial" w:eastAsia="Times New Roman" w:hAnsi="Arial" w:cs="Arial"/>
                <w:color w:val="000000"/>
                <w:sz w:val="20"/>
                <w:szCs w:val="20"/>
              </w:rPr>
              <w:t>New Mexico</w:t>
            </w: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573314FA"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14,042</w:t>
            </w:r>
          </w:p>
        </w:tc>
        <w:tc>
          <w:tcPr>
            <w:tcW w:w="81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5DB88E10"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0C2EF473"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13,797</w:t>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0064A431"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323</w:t>
            </w: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2FFB990F"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-5</w:t>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622BA333"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2,254</w:t>
            </w: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3F20C015"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12,946</w:t>
            </w:r>
          </w:p>
        </w:tc>
      </w:tr>
      <w:tr w:rsidR="006F40CB" w:rsidRPr="006F40CB" w14:paraId="7075504E" w14:textId="77777777" w:rsidTr="006F40CB">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4CE0800B" w14:textId="77777777" w:rsidR="006F40CB" w:rsidRPr="006F40CB" w:rsidRDefault="006F40CB" w:rsidP="006F40CB">
            <w:pPr>
              <w:spacing w:after="0" w:line="240" w:lineRule="auto"/>
              <w:rPr>
                <w:rFonts w:ascii="Arial" w:eastAsia="Times New Roman" w:hAnsi="Arial" w:cs="Arial"/>
                <w:color w:val="000000"/>
                <w:sz w:val="20"/>
                <w:szCs w:val="20"/>
              </w:rPr>
            </w:pPr>
            <w:proofErr w:type="spellStart"/>
            <w:r w:rsidRPr="006F40CB">
              <w:rPr>
                <w:rFonts w:ascii="Arial" w:eastAsia="Times New Roman" w:hAnsi="Arial" w:cs="Arial"/>
                <w:color w:val="000000"/>
                <w:sz w:val="20"/>
                <w:szCs w:val="20"/>
              </w:rPr>
              <w:t>pt_oilgas</w:t>
            </w:r>
            <w:proofErr w:type="spellEnd"/>
          </w:p>
        </w:tc>
        <w:tc>
          <w:tcPr>
            <w:tcW w:w="141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5B9D036E" w14:textId="77777777" w:rsidR="006F40CB" w:rsidRPr="006F40CB" w:rsidRDefault="006F40CB" w:rsidP="006F40CB">
            <w:pPr>
              <w:spacing w:after="0" w:line="240" w:lineRule="auto"/>
              <w:rPr>
                <w:rFonts w:ascii="Arial" w:eastAsia="Times New Roman" w:hAnsi="Arial" w:cs="Arial"/>
                <w:color w:val="000000"/>
                <w:sz w:val="20"/>
                <w:szCs w:val="20"/>
              </w:rPr>
            </w:pPr>
            <w:r w:rsidRPr="006F40CB">
              <w:rPr>
                <w:rFonts w:ascii="Arial" w:eastAsia="Times New Roman" w:hAnsi="Arial" w:cs="Arial"/>
                <w:color w:val="000000"/>
                <w:sz w:val="20"/>
                <w:szCs w:val="20"/>
              </w:rPr>
              <w:t>North Dakota</w:t>
            </w: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31998035"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-1,996</w:t>
            </w:r>
          </w:p>
        </w:tc>
        <w:tc>
          <w:tcPr>
            <w:tcW w:w="81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68D844A6"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-971</w:t>
            </w: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4BCE7483"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-2,647</w:t>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4A58A81F"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-819</w:t>
            </w: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463681A2"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-106</w:t>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3417EB8F"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-3,812</w:t>
            </w: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14B4A046"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-227</w:t>
            </w:r>
          </w:p>
        </w:tc>
      </w:tr>
      <w:tr w:rsidR="006F40CB" w:rsidRPr="006F40CB" w14:paraId="316CB58A" w14:textId="77777777" w:rsidTr="006F40CB">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5F96A6FC" w14:textId="77777777" w:rsidR="006F40CB" w:rsidRPr="006F40CB" w:rsidRDefault="006F40CB" w:rsidP="006F40CB">
            <w:pPr>
              <w:spacing w:after="0" w:line="240" w:lineRule="auto"/>
              <w:rPr>
                <w:rFonts w:ascii="Arial" w:eastAsia="Times New Roman" w:hAnsi="Arial" w:cs="Arial"/>
                <w:color w:val="000000"/>
                <w:sz w:val="20"/>
                <w:szCs w:val="20"/>
              </w:rPr>
            </w:pPr>
            <w:proofErr w:type="spellStart"/>
            <w:r w:rsidRPr="006F40CB">
              <w:rPr>
                <w:rFonts w:ascii="Arial" w:eastAsia="Times New Roman" w:hAnsi="Arial" w:cs="Arial"/>
                <w:color w:val="000000"/>
                <w:sz w:val="20"/>
                <w:szCs w:val="20"/>
              </w:rPr>
              <w:t>pt_oilgas</w:t>
            </w:r>
            <w:proofErr w:type="spellEnd"/>
          </w:p>
        </w:tc>
        <w:tc>
          <w:tcPr>
            <w:tcW w:w="141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31910C0E" w14:textId="77777777" w:rsidR="006F40CB" w:rsidRPr="006F40CB" w:rsidRDefault="006F40CB" w:rsidP="006F40CB">
            <w:pPr>
              <w:spacing w:after="0" w:line="240" w:lineRule="auto"/>
              <w:rPr>
                <w:rFonts w:ascii="Arial" w:eastAsia="Times New Roman" w:hAnsi="Arial" w:cs="Arial"/>
                <w:color w:val="000000"/>
                <w:sz w:val="20"/>
                <w:szCs w:val="20"/>
              </w:rPr>
            </w:pPr>
            <w:r w:rsidRPr="006F40CB">
              <w:rPr>
                <w:rFonts w:ascii="Arial" w:eastAsia="Times New Roman" w:hAnsi="Arial" w:cs="Arial"/>
                <w:color w:val="000000"/>
                <w:sz w:val="20"/>
                <w:szCs w:val="20"/>
              </w:rPr>
              <w:t>Utah</w:t>
            </w: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24884E41"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11,836</w:t>
            </w:r>
          </w:p>
        </w:tc>
        <w:tc>
          <w:tcPr>
            <w:tcW w:w="81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1C2ECCF0"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-9</w:t>
            </w: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4A78C4F1"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12,276</w:t>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16281C68"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513</w:t>
            </w: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1BD686DE"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-2</w:t>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1000B843"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40</w:t>
            </w: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06A98C01"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84,332</w:t>
            </w:r>
          </w:p>
        </w:tc>
      </w:tr>
      <w:tr w:rsidR="006F40CB" w:rsidRPr="006F40CB" w14:paraId="2A623C3E" w14:textId="77777777" w:rsidTr="006F40CB">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327D4B4C" w14:textId="77777777" w:rsidR="006F40CB" w:rsidRPr="006F40CB" w:rsidRDefault="006F40CB" w:rsidP="006F40CB">
            <w:pPr>
              <w:spacing w:after="0" w:line="240" w:lineRule="auto"/>
              <w:rPr>
                <w:rFonts w:ascii="Arial" w:eastAsia="Times New Roman" w:hAnsi="Arial" w:cs="Arial"/>
                <w:color w:val="000000"/>
                <w:sz w:val="20"/>
                <w:szCs w:val="20"/>
              </w:rPr>
            </w:pPr>
            <w:proofErr w:type="spellStart"/>
            <w:r w:rsidRPr="006F40CB">
              <w:rPr>
                <w:rFonts w:ascii="Arial" w:eastAsia="Times New Roman" w:hAnsi="Arial" w:cs="Arial"/>
                <w:color w:val="000000"/>
                <w:sz w:val="20"/>
                <w:szCs w:val="20"/>
              </w:rPr>
              <w:t>pt_oilgas</w:t>
            </w:r>
            <w:proofErr w:type="spellEnd"/>
          </w:p>
        </w:tc>
        <w:tc>
          <w:tcPr>
            <w:tcW w:w="141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0BBE6620" w14:textId="77777777" w:rsidR="006F40CB" w:rsidRPr="006F40CB" w:rsidRDefault="006F40CB" w:rsidP="006F40CB">
            <w:pPr>
              <w:spacing w:after="0" w:line="240" w:lineRule="auto"/>
              <w:rPr>
                <w:rFonts w:ascii="Arial" w:eastAsia="Times New Roman" w:hAnsi="Arial" w:cs="Arial"/>
                <w:color w:val="000000"/>
                <w:sz w:val="20"/>
                <w:szCs w:val="20"/>
              </w:rPr>
            </w:pPr>
            <w:r w:rsidRPr="006F40CB">
              <w:rPr>
                <w:rFonts w:ascii="Arial" w:eastAsia="Times New Roman" w:hAnsi="Arial" w:cs="Arial"/>
                <w:color w:val="000000"/>
                <w:sz w:val="20"/>
                <w:szCs w:val="20"/>
              </w:rPr>
              <w:t>Wyoming</w:t>
            </w: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22607FFE"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1,958</w:t>
            </w:r>
          </w:p>
        </w:tc>
        <w:tc>
          <w:tcPr>
            <w:tcW w:w="81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6B1AE6BF"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-17</w:t>
            </w: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0213256D"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2,846</w:t>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338F79C6"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179</w:t>
            </w: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223F7D19"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-45</w:t>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78AEDC3B"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20</w:t>
            </w: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6743AD74" w14:textId="77777777" w:rsidR="006F40CB" w:rsidRPr="006F40CB" w:rsidRDefault="006F40CB" w:rsidP="006F40CB">
            <w:pPr>
              <w:spacing w:after="0" w:line="240" w:lineRule="auto"/>
              <w:jc w:val="right"/>
              <w:rPr>
                <w:rFonts w:ascii="Arial" w:eastAsia="Times New Roman" w:hAnsi="Arial" w:cs="Arial"/>
                <w:color w:val="000000"/>
                <w:sz w:val="20"/>
                <w:szCs w:val="20"/>
              </w:rPr>
            </w:pPr>
            <w:r w:rsidRPr="006F40CB">
              <w:rPr>
                <w:rFonts w:ascii="Arial" w:eastAsia="Times New Roman" w:hAnsi="Arial" w:cs="Arial"/>
                <w:color w:val="000000"/>
                <w:sz w:val="20"/>
                <w:szCs w:val="20"/>
              </w:rPr>
              <w:t>8,661</w:t>
            </w:r>
          </w:p>
        </w:tc>
      </w:tr>
    </w:tbl>
    <w:p w14:paraId="0E4A8E88" w14:textId="4DA83B2F" w:rsidR="000F02CA" w:rsidRDefault="000F02CA"/>
    <w:sectPr w:rsidR="000F02CA" w:rsidSect="006F40CB">
      <w:pgSz w:w="12240" w:h="15840"/>
      <w:pgMar w:top="720" w:right="135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204C"/>
    <w:multiLevelType w:val="hybridMultilevel"/>
    <w:tmpl w:val="95F07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74420A"/>
    <w:multiLevelType w:val="hybridMultilevel"/>
    <w:tmpl w:val="ADC046F0"/>
    <w:lvl w:ilvl="0" w:tplc="585AFA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D25B7"/>
    <w:multiLevelType w:val="hybridMultilevel"/>
    <w:tmpl w:val="FD62474E"/>
    <w:lvl w:ilvl="0" w:tplc="46A454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D4EAA"/>
    <w:multiLevelType w:val="hybridMultilevel"/>
    <w:tmpl w:val="164CBB10"/>
    <w:lvl w:ilvl="0" w:tplc="E83E561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853AB"/>
    <w:multiLevelType w:val="hybridMultilevel"/>
    <w:tmpl w:val="14348CE0"/>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5" w15:restartNumberingAfterBreak="0">
    <w:nsid w:val="27825D50"/>
    <w:multiLevelType w:val="hybridMultilevel"/>
    <w:tmpl w:val="0C48A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A363EE"/>
    <w:multiLevelType w:val="hybridMultilevel"/>
    <w:tmpl w:val="3FDE82DA"/>
    <w:lvl w:ilvl="0" w:tplc="46A454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A14549"/>
    <w:multiLevelType w:val="hybridMultilevel"/>
    <w:tmpl w:val="67EAEF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343305"/>
    <w:multiLevelType w:val="hybridMultilevel"/>
    <w:tmpl w:val="23889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D7628D"/>
    <w:multiLevelType w:val="hybridMultilevel"/>
    <w:tmpl w:val="1E14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1F2995"/>
    <w:multiLevelType w:val="hybridMultilevel"/>
    <w:tmpl w:val="DFECF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17611E"/>
    <w:multiLevelType w:val="hybridMultilevel"/>
    <w:tmpl w:val="FA1E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C35706"/>
    <w:multiLevelType w:val="hybridMultilevel"/>
    <w:tmpl w:val="343A2224"/>
    <w:lvl w:ilvl="0" w:tplc="80606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3A10B9"/>
    <w:multiLevelType w:val="hybridMultilevel"/>
    <w:tmpl w:val="9C5CF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AAA2C8A"/>
    <w:multiLevelType w:val="hybridMultilevel"/>
    <w:tmpl w:val="75CEFACE"/>
    <w:lvl w:ilvl="0" w:tplc="B8120726">
      <w:start w:val="2028"/>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9"/>
  </w:num>
  <w:num w:numId="4">
    <w:abstractNumId w:val="1"/>
  </w:num>
  <w:num w:numId="5">
    <w:abstractNumId w:val="7"/>
  </w:num>
  <w:num w:numId="6">
    <w:abstractNumId w:val="10"/>
  </w:num>
  <w:num w:numId="7">
    <w:abstractNumId w:val="3"/>
  </w:num>
  <w:num w:numId="8">
    <w:abstractNumId w:val="0"/>
  </w:num>
  <w:num w:numId="9">
    <w:abstractNumId w:val="14"/>
  </w:num>
  <w:num w:numId="10">
    <w:abstractNumId w:val="13"/>
  </w:num>
  <w:num w:numId="11">
    <w:abstractNumId w:val="11"/>
  </w:num>
  <w:num w:numId="12">
    <w:abstractNumId w:val="2"/>
  </w:num>
  <w:num w:numId="13">
    <w:abstractNumId w:val="8"/>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42"/>
    <w:rsid w:val="00007A6A"/>
    <w:rsid w:val="00036F9D"/>
    <w:rsid w:val="000F02CA"/>
    <w:rsid w:val="000F2F42"/>
    <w:rsid w:val="0010622B"/>
    <w:rsid w:val="0011136C"/>
    <w:rsid w:val="00181094"/>
    <w:rsid w:val="001847F2"/>
    <w:rsid w:val="00265E21"/>
    <w:rsid w:val="002A1482"/>
    <w:rsid w:val="002C0FE3"/>
    <w:rsid w:val="00417963"/>
    <w:rsid w:val="004B431E"/>
    <w:rsid w:val="00515C56"/>
    <w:rsid w:val="005A27A2"/>
    <w:rsid w:val="005F6AEA"/>
    <w:rsid w:val="006069E3"/>
    <w:rsid w:val="006335B0"/>
    <w:rsid w:val="006567BE"/>
    <w:rsid w:val="00665B46"/>
    <w:rsid w:val="00694FA3"/>
    <w:rsid w:val="006B1D4C"/>
    <w:rsid w:val="006F40CB"/>
    <w:rsid w:val="00744936"/>
    <w:rsid w:val="007A2409"/>
    <w:rsid w:val="00902E16"/>
    <w:rsid w:val="009E42E3"/>
    <w:rsid w:val="009F2CDA"/>
    <w:rsid w:val="00A829AC"/>
    <w:rsid w:val="00AA6E01"/>
    <w:rsid w:val="00AD3867"/>
    <w:rsid w:val="00B20B6B"/>
    <w:rsid w:val="00B44925"/>
    <w:rsid w:val="00B82ADF"/>
    <w:rsid w:val="00CA7BE3"/>
    <w:rsid w:val="00CD7D78"/>
    <w:rsid w:val="00D06714"/>
    <w:rsid w:val="00D207FA"/>
    <w:rsid w:val="00DD480F"/>
    <w:rsid w:val="00ED014B"/>
    <w:rsid w:val="00EF1021"/>
    <w:rsid w:val="00F31FF7"/>
    <w:rsid w:val="00FA2C6D"/>
    <w:rsid w:val="00FE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3A0F5"/>
  <w15:chartTrackingRefBased/>
  <w15:docId w15:val="{6B71E0F3-92FC-4190-8892-48ABF839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F42"/>
  </w:style>
  <w:style w:type="paragraph" w:styleId="Heading1">
    <w:name w:val="heading 1"/>
    <w:basedOn w:val="Normal"/>
    <w:next w:val="Normal"/>
    <w:link w:val="Heading1Char"/>
    <w:uiPriority w:val="9"/>
    <w:qFormat/>
    <w:rsid w:val="000F2F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F4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F2F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2F4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D7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D78"/>
    <w:rPr>
      <w:rFonts w:ascii="Segoe UI" w:hAnsi="Segoe UI" w:cs="Segoe UI"/>
      <w:sz w:val="18"/>
      <w:szCs w:val="18"/>
    </w:rPr>
  </w:style>
  <w:style w:type="paragraph" w:styleId="ListParagraph">
    <w:name w:val="List Paragraph"/>
    <w:basedOn w:val="Normal"/>
    <w:uiPriority w:val="34"/>
    <w:qFormat/>
    <w:rsid w:val="00CD7D78"/>
    <w:pPr>
      <w:spacing w:after="0" w:line="240" w:lineRule="auto"/>
      <w:ind w:left="720"/>
    </w:pPr>
    <w:rPr>
      <w:rFonts w:ascii="Calibri" w:hAnsi="Calibri" w:cs="Calibri"/>
    </w:rPr>
  </w:style>
  <w:style w:type="character" w:styleId="Hyperlink">
    <w:name w:val="Hyperlink"/>
    <w:basedOn w:val="DefaultParagraphFont"/>
    <w:uiPriority w:val="99"/>
    <w:unhideWhenUsed/>
    <w:rsid w:val="0011136C"/>
    <w:rPr>
      <w:color w:val="0563C1" w:themeColor="hyperlink"/>
      <w:u w:val="single"/>
    </w:rPr>
  </w:style>
  <w:style w:type="character" w:customStyle="1" w:styleId="UnresolvedMention1">
    <w:name w:val="Unresolved Mention1"/>
    <w:basedOn w:val="DefaultParagraphFont"/>
    <w:uiPriority w:val="99"/>
    <w:semiHidden/>
    <w:unhideWhenUsed/>
    <w:rsid w:val="0011136C"/>
    <w:rPr>
      <w:color w:val="605E5C"/>
      <w:shd w:val="clear" w:color="auto" w:fill="E1DFDD"/>
    </w:rPr>
  </w:style>
  <w:style w:type="character" w:styleId="CommentReference">
    <w:name w:val="annotation reference"/>
    <w:basedOn w:val="DefaultParagraphFont"/>
    <w:uiPriority w:val="99"/>
    <w:semiHidden/>
    <w:unhideWhenUsed/>
    <w:rsid w:val="00265E21"/>
    <w:rPr>
      <w:sz w:val="16"/>
      <w:szCs w:val="16"/>
    </w:rPr>
  </w:style>
  <w:style w:type="paragraph" w:styleId="CommentText">
    <w:name w:val="annotation text"/>
    <w:basedOn w:val="Normal"/>
    <w:link w:val="CommentTextChar"/>
    <w:uiPriority w:val="99"/>
    <w:semiHidden/>
    <w:unhideWhenUsed/>
    <w:rsid w:val="00265E21"/>
    <w:pPr>
      <w:spacing w:line="240" w:lineRule="auto"/>
    </w:pPr>
    <w:rPr>
      <w:sz w:val="20"/>
      <w:szCs w:val="20"/>
    </w:rPr>
  </w:style>
  <w:style w:type="character" w:customStyle="1" w:styleId="CommentTextChar">
    <w:name w:val="Comment Text Char"/>
    <w:basedOn w:val="DefaultParagraphFont"/>
    <w:link w:val="CommentText"/>
    <w:uiPriority w:val="99"/>
    <w:semiHidden/>
    <w:rsid w:val="00265E21"/>
    <w:rPr>
      <w:sz w:val="20"/>
      <w:szCs w:val="20"/>
    </w:rPr>
  </w:style>
  <w:style w:type="paragraph" w:styleId="CommentSubject">
    <w:name w:val="annotation subject"/>
    <w:basedOn w:val="CommentText"/>
    <w:next w:val="CommentText"/>
    <w:link w:val="CommentSubjectChar"/>
    <w:uiPriority w:val="99"/>
    <w:semiHidden/>
    <w:unhideWhenUsed/>
    <w:rsid w:val="00265E21"/>
    <w:rPr>
      <w:b/>
      <w:bCs/>
    </w:rPr>
  </w:style>
  <w:style w:type="character" w:customStyle="1" w:styleId="CommentSubjectChar">
    <w:name w:val="Comment Subject Char"/>
    <w:basedOn w:val="CommentTextChar"/>
    <w:link w:val="CommentSubject"/>
    <w:uiPriority w:val="99"/>
    <w:semiHidden/>
    <w:rsid w:val="00265E21"/>
    <w:rPr>
      <w:b/>
      <w:bCs/>
      <w:sz w:val="20"/>
      <w:szCs w:val="20"/>
    </w:rPr>
  </w:style>
  <w:style w:type="table" w:styleId="TableGrid">
    <w:name w:val="Table Grid"/>
    <w:basedOn w:val="TableNormal"/>
    <w:uiPriority w:val="39"/>
    <w:rsid w:val="002C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31F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34487">
      <w:bodyDiv w:val="1"/>
      <w:marLeft w:val="0"/>
      <w:marRight w:val="0"/>
      <w:marTop w:val="0"/>
      <w:marBottom w:val="0"/>
      <w:divBdr>
        <w:top w:val="none" w:sz="0" w:space="0" w:color="auto"/>
        <w:left w:val="none" w:sz="0" w:space="0" w:color="auto"/>
        <w:bottom w:val="none" w:sz="0" w:space="0" w:color="auto"/>
        <w:right w:val="none" w:sz="0" w:space="0" w:color="auto"/>
      </w:divBdr>
    </w:div>
    <w:div w:id="455755996">
      <w:bodyDiv w:val="1"/>
      <w:marLeft w:val="0"/>
      <w:marRight w:val="0"/>
      <w:marTop w:val="0"/>
      <w:marBottom w:val="0"/>
      <w:divBdr>
        <w:top w:val="none" w:sz="0" w:space="0" w:color="auto"/>
        <w:left w:val="none" w:sz="0" w:space="0" w:color="auto"/>
        <w:bottom w:val="none" w:sz="0" w:space="0" w:color="auto"/>
        <w:right w:val="none" w:sz="0" w:space="0" w:color="auto"/>
      </w:divBdr>
    </w:div>
    <w:div w:id="791677197">
      <w:bodyDiv w:val="1"/>
      <w:marLeft w:val="0"/>
      <w:marRight w:val="0"/>
      <w:marTop w:val="0"/>
      <w:marBottom w:val="0"/>
      <w:divBdr>
        <w:top w:val="none" w:sz="0" w:space="0" w:color="auto"/>
        <w:left w:val="none" w:sz="0" w:space="0" w:color="auto"/>
        <w:bottom w:val="none" w:sz="0" w:space="0" w:color="auto"/>
        <w:right w:val="none" w:sz="0" w:space="0" w:color="auto"/>
      </w:divBdr>
    </w:div>
    <w:div w:id="896010613">
      <w:bodyDiv w:val="1"/>
      <w:marLeft w:val="0"/>
      <w:marRight w:val="0"/>
      <w:marTop w:val="0"/>
      <w:marBottom w:val="0"/>
      <w:divBdr>
        <w:top w:val="none" w:sz="0" w:space="0" w:color="auto"/>
        <w:left w:val="none" w:sz="0" w:space="0" w:color="auto"/>
        <w:bottom w:val="none" w:sz="0" w:space="0" w:color="auto"/>
        <w:right w:val="none" w:sz="0" w:space="0" w:color="auto"/>
      </w:divBdr>
    </w:div>
    <w:div w:id="1336569663">
      <w:bodyDiv w:val="1"/>
      <w:marLeft w:val="0"/>
      <w:marRight w:val="0"/>
      <w:marTop w:val="0"/>
      <w:marBottom w:val="0"/>
      <w:divBdr>
        <w:top w:val="none" w:sz="0" w:space="0" w:color="auto"/>
        <w:left w:val="none" w:sz="0" w:space="0" w:color="auto"/>
        <w:bottom w:val="none" w:sz="0" w:space="0" w:color="auto"/>
        <w:right w:val="none" w:sz="0" w:space="0" w:color="auto"/>
      </w:divBdr>
    </w:div>
    <w:div w:id="1584878567">
      <w:bodyDiv w:val="1"/>
      <w:marLeft w:val="0"/>
      <w:marRight w:val="0"/>
      <w:marTop w:val="0"/>
      <w:marBottom w:val="0"/>
      <w:divBdr>
        <w:top w:val="none" w:sz="0" w:space="0" w:color="auto"/>
        <w:left w:val="none" w:sz="0" w:space="0" w:color="auto"/>
        <w:bottom w:val="none" w:sz="0" w:space="0" w:color="auto"/>
        <w:right w:val="none" w:sz="0" w:space="0" w:color="auto"/>
      </w:divBdr>
    </w:div>
    <w:div w:id="2013988393">
      <w:bodyDiv w:val="1"/>
      <w:marLeft w:val="0"/>
      <w:marRight w:val="0"/>
      <w:marTop w:val="0"/>
      <w:marBottom w:val="0"/>
      <w:divBdr>
        <w:top w:val="none" w:sz="0" w:space="0" w:color="auto"/>
        <w:left w:val="none" w:sz="0" w:space="0" w:color="auto"/>
        <w:bottom w:val="none" w:sz="0" w:space="0" w:color="auto"/>
        <w:right w:val="none" w:sz="0" w:space="0" w:color="auto"/>
      </w:divBdr>
    </w:div>
    <w:div w:id="205117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ews.cira.colostate.edu/wiki/Attachments/2014v2_Review/WRAP%20Regional%20Haze%20SIP%20Emissions%20Inventory%20Review%20Documentation_Docket.docx" TargetMode="External"/><Relationship Id="rId3" Type="http://schemas.openxmlformats.org/officeDocument/2006/relationships/styles" Target="styles.xml"/><Relationship Id="rId7" Type="http://schemas.openxmlformats.org/officeDocument/2006/relationships/hyperlink" Target="http://www.wrapair2.org/pdf/WesternModelingPlan%20update%20March27_201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75558147824114E-2"/>
          <c:y val="3.7898363479758827E-2"/>
          <c:w val="0.88961067366579183"/>
          <c:h val="0.90694012085698605"/>
        </c:manualLayout>
      </c:layout>
      <c:barChart>
        <c:barDir val="col"/>
        <c:grouping val="clustered"/>
        <c:varyColors val="0"/>
        <c:ser>
          <c:idx val="0"/>
          <c:order val="0"/>
          <c:tx>
            <c:strRef>
              <c:f>no_CA!$C$1</c:f>
              <c:strCache>
                <c:ptCount val="1"/>
                <c:pt idx="0">
                  <c:v>CO_wrapv2-wrapv1</c:v>
                </c:pt>
              </c:strCache>
            </c:strRef>
          </c:tx>
          <c:spPr>
            <a:solidFill>
              <a:srgbClr val="7030A0"/>
            </a:solidFill>
            <a:ln>
              <a:noFill/>
            </a:ln>
            <a:effectLst/>
          </c:spPr>
          <c:invertIfNegative val="0"/>
          <c:cat>
            <c:strRef>
              <c:f>no_CA!$B$2:$B$8</c:f>
              <c:strCache>
                <c:ptCount val="7"/>
                <c:pt idx="0">
                  <c:v>Arizona</c:v>
                </c:pt>
                <c:pt idx="1">
                  <c:v>Montana</c:v>
                </c:pt>
                <c:pt idx="2">
                  <c:v>North Dakota</c:v>
                </c:pt>
                <c:pt idx="3">
                  <c:v>Oregon</c:v>
                </c:pt>
                <c:pt idx="4">
                  <c:v>Utah</c:v>
                </c:pt>
                <c:pt idx="5">
                  <c:v>Wyoming</c:v>
                </c:pt>
                <c:pt idx="6">
                  <c:v>New Mexico</c:v>
                </c:pt>
              </c:strCache>
            </c:strRef>
          </c:cat>
          <c:val>
            <c:numRef>
              <c:f>no_CA!$C$2:$C$8</c:f>
              <c:numCache>
                <c:formatCode>#,##0</c:formatCode>
                <c:ptCount val="7"/>
                <c:pt idx="0">
                  <c:v>759.86600000000396</c:v>
                </c:pt>
                <c:pt idx="1">
                  <c:v>193.03166999999999</c:v>
                </c:pt>
                <c:pt idx="2">
                  <c:v>3977.7366000000006</c:v>
                </c:pt>
                <c:pt idx="3">
                  <c:v>0</c:v>
                </c:pt>
                <c:pt idx="4">
                  <c:v>-100.19743000000017</c:v>
                </c:pt>
                <c:pt idx="5">
                  <c:v>1951.6683999999996</c:v>
                </c:pt>
                <c:pt idx="6">
                  <c:v>41620.133900000001</c:v>
                </c:pt>
              </c:numCache>
            </c:numRef>
          </c:val>
        </c:ser>
        <c:ser>
          <c:idx val="1"/>
          <c:order val="1"/>
          <c:tx>
            <c:strRef>
              <c:f>no_CA!$D$1</c:f>
              <c:strCache>
                <c:ptCount val="1"/>
                <c:pt idx="0">
                  <c:v>NH3_wrapv2-wrapv1</c:v>
                </c:pt>
              </c:strCache>
            </c:strRef>
          </c:tx>
          <c:spPr>
            <a:solidFill>
              <a:schemeClr val="accent2"/>
            </a:solidFill>
            <a:ln>
              <a:noFill/>
            </a:ln>
            <a:effectLst/>
          </c:spPr>
          <c:invertIfNegative val="0"/>
          <c:cat>
            <c:strRef>
              <c:f>no_CA!$B$2:$B$8</c:f>
              <c:strCache>
                <c:ptCount val="7"/>
                <c:pt idx="0">
                  <c:v>Arizona</c:v>
                </c:pt>
                <c:pt idx="1">
                  <c:v>Montana</c:v>
                </c:pt>
                <c:pt idx="2">
                  <c:v>North Dakota</c:v>
                </c:pt>
                <c:pt idx="3">
                  <c:v>Oregon</c:v>
                </c:pt>
                <c:pt idx="4">
                  <c:v>Utah</c:v>
                </c:pt>
                <c:pt idx="5">
                  <c:v>Wyoming</c:v>
                </c:pt>
                <c:pt idx="6">
                  <c:v>New Mexico</c:v>
                </c:pt>
              </c:strCache>
            </c:strRef>
          </c:cat>
          <c:val>
            <c:numRef>
              <c:f>no_CA!$D$2:$D$8</c:f>
              <c:numCache>
                <c:formatCode>#,##0</c:formatCode>
                <c:ptCount val="7"/>
                <c:pt idx="0">
                  <c:v>4.3499999999994501E-2</c:v>
                </c:pt>
                <c:pt idx="1">
                  <c:v>0</c:v>
                </c:pt>
                <c:pt idx="2">
                  <c:v>0</c:v>
                </c:pt>
                <c:pt idx="3">
                  <c:v>0</c:v>
                </c:pt>
                <c:pt idx="4">
                  <c:v>-9.3692683999999993</c:v>
                </c:pt>
                <c:pt idx="5">
                  <c:v>-16.98283</c:v>
                </c:pt>
                <c:pt idx="6">
                  <c:v>-0.15500001999999999</c:v>
                </c:pt>
              </c:numCache>
            </c:numRef>
          </c:val>
        </c:ser>
        <c:ser>
          <c:idx val="2"/>
          <c:order val="2"/>
          <c:tx>
            <c:strRef>
              <c:f>no_CA!$E$1</c:f>
              <c:strCache>
                <c:ptCount val="1"/>
                <c:pt idx="0">
                  <c:v>NOX_wrapv2-wrapv1</c:v>
                </c:pt>
              </c:strCache>
            </c:strRef>
          </c:tx>
          <c:spPr>
            <a:solidFill>
              <a:schemeClr val="accent3"/>
            </a:solidFill>
            <a:ln>
              <a:noFill/>
            </a:ln>
            <a:effectLst/>
          </c:spPr>
          <c:invertIfNegative val="0"/>
          <c:cat>
            <c:strRef>
              <c:f>no_CA!$B$2:$B$8</c:f>
              <c:strCache>
                <c:ptCount val="7"/>
                <c:pt idx="0">
                  <c:v>Arizona</c:v>
                </c:pt>
                <c:pt idx="1">
                  <c:v>Montana</c:v>
                </c:pt>
                <c:pt idx="2">
                  <c:v>North Dakota</c:v>
                </c:pt>
                <c:pt idx="3">
                  <c:v>Oregon</c:v>
                </c:pt>
                <c:pt idx="4">
                  <c:v>Utah</c:v>
                </c:pt>
                <c:pt idx="5">
                  <c:v>Wyoming</c:v>
                </c:pt>
                <c:pt idx="6">
                  <c:v>New Mexico</c:v>
                </c:pt>
              </c:strCache>
            </c:strRef>
          </c:cat>
          <c:val>
            <c:numRef>
              <c:f>no_CA!$E$2:$E$8</c:f>
              <c:numCache>
                <c:formatCode>#,##0</c:formatCode>
                <c:ptCount val="7"/>
                <c:pt idx="0">
                  <c:v>1518.860999999999</c:v>
                </c:pt>
                <c:pt idx="1">
                  <c:v>2629.553899999999</c:v>
                </c:pt>
                <c:pt idx="2">
                  <c:v>1643.6156000000005</c:v>
                </c:pt>
                <c:pt idx="3">
                  <c:v>0</c:v>
                </c:pt>
                <c:pt idx="4">
                  <c:v>-1221.3027000000002</c:v>
                </c:pt>
                <c:pt idx="5">
                  <c:v>13534.770999999999</c:v>
                </c:pt>
                <c:pt idx="6">
                  <c:v>22034.678</c:v>
                </c:pt>
              </c:numCache>
            </c:numRef>
          </c:val>
        </c:ser>
        <c:ser>
          <c:idx val="3"/>
          <c:order val="3"/>
          <c:tx>
            <c:strRef>
              <c:f>no_CA!$F$1</c:f>
              <c:strCache>
                <c:ptCount val="1"/>
                <c:pt idx="0">
                  <c:v>PM25_wrapv2-wrapv1</c:v>
                </c:pt>
              </c:strCache>
            </c:strRef>
          </c:tx>
          <c:spPr>
            <a:solidFill>
              <a:schemeClr val="accent4"/>
            </a:solidFill>
            <a:ln>
              <a:noFill/>
            </a:ln>
            <a:effectLst/>
          </c:spPr>
          <c:invertIfNegative val="0"/>
          <c:cat>
            <c:strRef>
              <c:f>no_CA!$B$2:$B$8</c:f>
              <c:strCache>
                <c:ptCount val="7"/>
                <c:pt idx="0">
                  <c:v>Arizona</c:v>
                </c:pt>
                <c:pt idx="1">
                  <c:v>Montana</c:v>
                </c:pt>
                <c:pt idx="2">
                  <c:v>North Dakota</c:v>
                </c:pt>
                <c:pt idx="3">
                  <c:v>Oregon</c:v>
                </c:pt>
                <c:pt idx="4">
                  <c:v>Utah</c:v>
                </c:pt>
                <c:pt idx="5">
                  <c:v>Wyoming</c:v>
                </c:pt>
                <c:pt idx="6">
                  <c:v>New Mexico</c:v>
                </c:pt>
              </c:strCache>
            </c:strRef>
          </c:cat>
          <c:val>
            <c:numRef>
              <c:f>no_CA!$F$2:$F$8</c:f>
              <c:numCache>
                <c:formatCode>#,##0</c:formatCode>
                <c:ptCount val="7"/>
                <c:pt idx="0">
                  <c:v>563.96289999999999</c:v>
                </c:pt>
                <c:pt idx="1">
                  <c:v>426.35419400000012</c:v>
                </c:pt>
                <c:pt idx="2">
                  <c:v>54.910419999999931</c:v>
                </c:pt>
                <c:pt idx="3">
                  <c:v>0</c:v>
                </c:pt>
                <c:pt idx="4">
                  <c:v>-53.49201800000003</c:v>
                </c:pt>
                <c:pt idx="5">
                  <c:v>72.195549999999997</c:v>
                </c:pt>
                <c:pt idx="6">
                  <c:v>1126.6021700000001</c:v>
                </c:pt>
              </c:numCache>
            </c:numRef>
          </c:val>
        </c:ser>
        <c:ser>
          <c:idx val="4"/>
          <c:order val="4"/>
          <c:tx>
            <c:strRef>
              <c:f>no_CA!$G$1</c:f>
              <c:strCache>
                <c:ptCount val="1"/>
                <c:pt idx="0">
                  <c:v>PMC_wrapv2-wrapv1</c:v>
                </c:pt>
              </c:strCache>
            </c:strRef>
          </c:tx>
          <c:spPr>
            <a:solidFill>
              <a:schemeClr val="accent5"/>
            </a:solidFill>
            <a:ln>
              <a:noFill/>
            </a:ln>
            <a:effectLst/>
          </c:spPr>
          <c:invertIfNegative val="0"/>
          <c:cat>
            <c:strRef>
              <c:f>no_CA!$B$2:$B$8</c:f>
              <c:strCache>
                <c:ptCount val="7"/>
                <c:pt idx="0">
                  <c:v>Arizona</c:v>
                </c:pt>
                <c:pt idx="1">
                  <c:v>Montana</c:v>
                </c:pt>
                <c:pt idx="2">
                  <c:v>North Dakota</c:v>
                </c:pt>
                <c:pt idx="3">
                  <c:v>Oregon</c:v>
                </c:pt>
                <c:pt idx="4">
                  <c:v>Utah</c:v>
                </c:pt>
                <c:pt idx="5">
                  <c:v>Wyoming</c:v>
                </c:pt>
                <c:pt idx="6">
                  <c:v>New Mexico</c:v>
                </c:pt>
              </c:strCache>
            </c:strRef>
          </c:cat>
          <c:val>
            <c:numRef>
              <c:f>no_CA!$G$2:$G$8</c:f>
              <c:numCache>
                <c:formatCode>#,##0</c:formatCode>
                <c:ptCount val="7"/>
                <c:pt idx="0">
                  <c:v>1876.0989099999999</c:v>
                </c:pt>
                <c:pt idx="1">
                  <c:v>1854.1714403000001</c:v>
                </c:pt>
                <c:pt idx="2">
                  <c:v>-29.001017999999988</c:v>
                </c:pt>
                <c:pt idx="3">
                  <c:v>0</c:v>
                </c:pt>
                <c:pt idx="4">
                  <c:v>-21.2422750036</c:v>
                </c:pt>
                <c:pt idx="5">
                  <c:v>-138.48696899999999</c:v>
                </c:pt>
                <c:pt idx="6">
                  <c:v>-10.259068644999999</c:v>
                </c:pt>
              </c:numCache>
            </c:numRef>
          </c:val>
        </c:ser>
        <c:ser>
          <c:idx val="5"/>
          <c:order val="5"/>
          <c:tx>
            <c:strRef>
              <c:f>no_CA!$H$1</c:f>
              <c:strCache>
                <c:ptCount val="1"/>
                <c:pt idx="0">
                  <c:v>SO2_wrapv2-wrapv1</c:v>
                </c:pt>
              </c:strCache>
            </c:strRef>
          </c:tx>
          <c:spPr>
            <a:solidFill>
              <a:schemeClr val="accent6"/>
            </a:solidFill>
            <a:ln>
              <a:noFill/>
            </a:ln>
            <a:effectLst/>
          </c:spPr>
          <c:invertIfNegative val="0"/>
          <c:cat>
            <c:strRef>
              <c:f>no_CA!$B$2:$B$8</c:f>
              <c:strCache>
                <c:ptCount val="7"/>
                <c:pt idx="0">
                  <c:v>Arizona</c:v>
                </c:pt>
                <c:pt idx="1">
                  <c:v>Montana</c:v>
                </c:pt>
                <c:pt idx="2">
                  <c:v>North Dakota</c:v>
                </c:pt>
                <c:pt idx="3">
                  <c:v>Oregon</c:v>
                </c:pt>
                <c:pt idx="4">
                  <c:v>Utah</c:v>
                </c:pt>
                <c:pt idx="5">
                  <c:v>Wyoming</c:v>
                </c:pt>
                <c:pt idx="6">
                  <c:v>New Mexico</c:v>
                </c:pt>
              </c:strCache>
            </c:strRef>
          </c:cat>
          <c:val>
            <c:numRef>
              <c:f>no_CA!$H$2:$H$8</c:f>
              <c:numCache>
                <c:formatCode>#,##0</c:formatCode>
                <c:ptCount val="7"/>
                <c:pt idx="0">
                  <c:v>1134.0489999999979</c:v>
                </c:pt>
                <c:pt idx="1">
                  <c:v>-4.5383000000000226</c:v>
                </c:pt>
                <c:pt idx="2">
                  <c:v>5.4463000000000648</c:v>
                </c:pt>
                <c:pt idx="3">
                  <c:v>0</c:v>
                </c:pt>
                <c:pt idx="4">
                  <c:v>-9.4603450000000038</c:v>
                </c:pt>
                <c:pt idx="5">
                  <c:v>-653.81300000000022</c:v>
                </c:pt>
                <c:pt idx="6">
                  <c:v>5315.2813099999994</c:v>
                </c:pt>
              </c:numCache>
            </c:numRef>
          </c:val>
        </c:ser>
        <c:ser>
          <c:idx val="6"/>
          <c:order val="6"/>
          <c:tx>
            <c:strRef>
              <c:f>no_CA!$I$1</c:f>
              <c:strCache>
                <c:ptCount val="1"/>
                <c:pt idx="0">
                  <c:v>VOC_wrapv2-wrapv1</c:v>
                </c:pt>
              </c:strCache>
            </c:strRef>
          </c:tx>
          <c:spPr>
            <a:solidFill>
              <a:srgbClr val="FF0000"/>
            </a:solidFill>
            <a:ln>
              <a:noFill/>
            </a:ln>
            <a:effectLst/>
          </c:spPr>
          <c:invertIfNegative val="0"/>
          <c:cat>
            <c:strRef>
              <c:f>no_CA!$B$2:$B$8</c:f>
              <c:strCache>
                <c:ptCount val="7"/>
                <c:pt idx="0">
                  <c:v>Arizona</c:v>
                </c:pt>
                <c:pt idx="1">
                  <c:v>Montana</c:v>
                </c:pt>
                <c:pt idx="2">
                  <c:v>North Dakota</c:v>
                </c:pt>
                <c:pt idx="3">
                  <c:v>Oregon</c:v>
                </c:pt>
                <c:pt idx="4">
                  <c:v>Utah</c:v>
                </c:pt>
                <c:pt idx="5">
                  <c:v>Wyoming</c:v>
                </c:pt>
                <c:pt idx="6">
                  <c:v>New Mexico</c:v>
                </c:pt>
              </c:strCache>
            </c:strRef>
          </c:cat>
          <c:val>
            <c:numRef>
              <c:f>no_CA!$I$2:$I$8</c:f>
              <c:numCache>
                <c:formatCode>#,##0</c:formatCode>
                <c:ptCount val="7"/>
                <c:pt idx="0">
                  <c:v>134.73957999999999</c:v>
                </c:pt>
                <c:pt idx="1">
                  <c:v>30.767919999994987</c:v>
                </c:pt>
                <c:pt idx="2">
                  <c:v>3400.1700099999998</c:v>
                </c:pt>
                <c:pt idx="3">
                  <c:v>0</c:v>
                </c:pt>
                <c:pt idx="4">
                  <c:v>204.40251999998873</c:v>
                </c:pt>
                <c:pt idx="5">
                  <c:v>48695.6702</c:v>
                </c:pt>
                <c:pt idx="6">
                  <c:v>32832.484000000004</c:v>
                </c:pt>
              </c:numCache>
            </c:numRef>
          </c:val>
        </c:ser>
        <c:dLbls>
          <c:showLegendKey val="0"/>
          <c:showVal val="0"/>
          <c:showCatName val="0"/>
          <c:showSerName val="0"/>
          <c:showPercent val="0"/>
          <c:showBubbleSize val="0"/>
        </c:dLbls>
        <c:gapWidth val="219"/>
        <c:overlap val="-27"/>
        <c:axId val="232600560"/>
        <c:axId val="230476600"/>
      </c:barChart>
      <c:catAx>
        <c:axId val="23260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0476600"/>
        <c:crosses val="autoZero"/>
        <c:auto val="1"/>
        <c:lblAlgn val="ctr"/>
        <c:lblOffset val="100"/>
        <c:noMultiLvlLbl val="0"/>
      </c:catAx>
      <c:valAx>
        <c:axId val="230476600"/>
        <c:scaling>
          <c:orientation val="minMax"/>
          <c:max val="5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600560"/>
        <c:crosses val="autoZero"/>
        <c:crossBetween val="between"/>
      </c:valAx>
      <c:spPr>
        <a:noFill/>
        <a:ln>
          <a:noFill/>
        </a:ln>
        <a:effectLst/>
      </c:spPr>
    </c:plotArea>
    <c:legend>
      <c:legendPos val="b"/>
      <c:layout>
        <c:manualLayout>
          <c:xMode val="edge"/>
          <c:yMode val="edge"/>
          <c:x val="8.915897086938207E-2"/>
          <c:y val="2.7895269789199994E-2"/>
          <c:w val="0.57870451378762844"/>
          <c:h val="0.2390858125319733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54B65-0D1F-4EA3-A07D-2AF9C0C97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Herron-Thorpe, Farren (ECY)</dc:creator>
  <cp:keywords/>
  <dc:description/>
  <cp:lastModifiedBy>Herron-Thorpe, Farren (ECY)</cp:lastModifiedBy>
  <cp:revision>4</cp:revision>
  <dcterms:created xsi:type="dcterms:W3CDTF">2019-08-29T16:07:00Z</dcterms:created>
  <dcterms:modified xsi:type="dcterms:W3CDTF">2019-08-29T16:20:00Z</dcterms:modified>
</cp:coreProperties>
</file>